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C00B3C" w14:textId="57D9BA09" w:rsidR="00690BBA" w:rsidRDefault="00690BBA" w:rsidP="00690BBA">
      <w:pPr>
        <w:jc w:val="center"/>
        <w:rPr>
          <w:rFonts w:ascii="IBM Plex Sans" w:hAnsi="IBM Plex Sans"/>
          <w:b/>
          <w:bCs/>
          <w:sz w:val="22"/>
          <w:szCs w:val="22"/>
        </w:rPr>
      </w:pPr>
      <w:r>
        <w:rPr>
          <w:rFonts w:ascii="IBM Plex Sans" w:hAnsi="IBM Plex Sans"/>
          <w:b/>
          <w:bCs/>
          <w:sz w:val="22"/>
          <w:szCs w:val="22"/>
        </w:rPr>
        <w:t>Comprehensive Examination (PhD)</w:t>
      </w:r>
    </w:p>
    <w:p w14:paraId="37A04490" w14:textId="77777777" w:rsidR="00690BBA" w:rsidRDefault="00010C23" w:rsidP="00690BBA">
      <w:pPr>
        <w:jc w:val="center"/>
        <w:rPr>
          <w:rFonts w:ascii="IBM Plex Sans" w:hAnsi="IBM Plex Sans"/>
          <w:b/>
          <w:bCs/>
          <w:sz w:val="22"/>
          <w:szCs w:val="22"/>
        </w:rPr>
      </w:pPr>
      <w:r w:rsidRPr="00690BBA">
        <w:rPr>
          <w:rFonts w:ascii="IBM Plex Sans" w:hAnsi="IBM Plex Sans"/>
          <w:b/>
          <w:bCs/>
          <w:sz w:val="22"/>
          <w:szCs w:val="22"/>
        </w:rPr>
        <w:t xml:space="preserve">Updated Milestone </w:t>
      </w:r>
      <w:r w:rsidR="00690BBA">
        <w:rPr>
          <w:rFonts w:ascii="IBM Plex Sans" w:hAnsi="IBM Plex Sans"/>
          <w:b/>
          <w:bCs/>
          <w:sz w:val="22"/>
          <w:szCs w:val="22"/>
        </w:rPr>
        <w:t>D</w:t>
      </w:r>
      <w:r w:rsidRPr="00690BBA">
        <w:rPr>
          <w:rFonts w:ascii="IBM Plex Sans" w:hAnsi="IBM Plex Sans"/>
          <w:b/>
          <w:bCs/>
          <w:sz w:val="22"/>
          <w:szCs w:val="22"/>
        </w:rPr>
        <w:t>ocument</w:t>
      </w:r>
    </w:p>
    <w:p w14:paraId="252188F0" w14:textId="1A73089B" w:rsidR="00225159" w:rsidRPr="00690BBA" w:rsidRDefault="00690BBA" w:rsidP="00690BBA">
      <w:pPr>
        <w:jc w:val="center"/>
        <w:rPr>
          <w:rFonts w:ascii="IBM Plex Sans" w:hAnsi="IBM Plex Sans"/>
          <w:b/>
          <w:bCs/>
          <w:sz w:val="22"/>
          <w:szCs w:val="22"/>
        </w:rPr>
      </w:pPr>
      <w:r w:rsidRPr="00690BBA">
        <w:rPr>
          <w:rFonts w:ascii="IBM Plex Sans" w:hAnsi="IBM Plex Sans"/>
          <w:b/>
          <w:bCs/>
          <w:sz w:val="22"/>
          <w:szCs w:val="22"/>
        </w:rPr>
        <w:t>Social and Political Thought</w:t>
      </w:r>
    </w:p>
    <w:p w14:paraId="4E903CAF" w14:textId="77777777" w:rsidR="00690BBA" w:rsidRDefault="00690BBA">
      <w:pPr>
        <w:rPr>
          <w:rFonts w:ascii="IBM Plex Sans" w:hAnsi="IBM Plex Sans"/>
          <w:sz w:val="22"/>
          <w:szCs w:val="22"/>
        </w:rPr>
      </w:pPr>
    </w:p>
    <w:p w14:paraId="33194949" w14:textId="77777777" w:rsidR="00690BBA" w:rsidRPr="00690BBA" w:rsidRDefault="00690BBA">
      <w:pPr>
        <w:rPr>
          <w:rFonts w:ascii="IBM Plex Sans" w:hAnsi="IBM Plex Sans"/>
          <w:sz w:val="22"/>
          <w:szCs w:val="22"/>
        </w:rPr>
      </w:pPr>
    </w:p>
    <w:p w14:paraId="2CDB54CB" w14:textId="2750B8FB" w:rsidR="00690BBA" w:rsidRDefault="008C299F" w:rsidP="00690BBA">
      <w:pPr>
        <w:numPr>
          <w:ilvl w:val="0"/>
          <w:numId w:val="1"/>
        </w:numPr>
        <w:rPr>
          <w:rFonts w:ascii="IBM Plex Sans" w:hAnsi="IBM Plex Sans"/>
          <w:b/>
          <w:bCs/>
          <w:sz w:val="22"/>
          <w:szCs w:val="22"/>
        </w:rPr>
      </w:pPr>
      <w:r w:rsidRPr="00690BBA">
        <w:rPr>
          <w:rFonts w:ascii="IBM Plex Sans" w:hAnsi="IBM Plex Sans"/>
          <w:b/>
          <w:bCs/>
          <w:sz w:val="22"/>
          <w:szCs w:val="22"/>
        </w:rPr>
        <w:t>Objectives</w:t>
      </w:r>
      <w:r w:rsidR="00690BBA">
        <w:rPr>
          <w:rFonts w:ascii="IBM Plex Sans" w:hAnsi="IBM Plex Sans"/>
          <w:b/>
          <w:bCs/>
          <w:sz w:val="22"/>
          <w:szCs w:val="22"/>
        </w:rPr>
        <w:br/>
      </w:r>
      <w:r w:rsidR="006714EF" w:rsidRPr="00690BBA">
        <w:rPr>
          <w:rFonts w:ascii="IBM Plex Sans" w:hAnsi="IBM Plex Sans"/>
          <w:sz w:val="22"/>
          <w:szCs w:val="22"/>
        </w:rPr>
        <w:t>The purpose</w:t>
      </w:r>
      <w:r w:rsidR="00690BBA">
        <w:rPr>
          <w:rFonts w:ascii="IBM Plex Sans" w:hAnsi="IBM Plex Sans"/>
          <w:sz w:val="22"/>
          <w:szCs w:val="22"/>
        </w:rPr>
        <w:t>s</w:t>
      </w:r>
      <w:r w:rsidR="006714EF" w:rsidRPr="00690BBA">
        <w:rPr>
          <w:rFonts w:ascii="IBM Plex Sans" w:hAnsi="IBM Plex Sans"/>
          <w:sz w:val="22"/>
          <w:szCs w:val="22"/>
        </w:rPr>
        <w:t xml:space="preserve"> of the comprehensive examination </w:t>
      </w:r>
      <w:r w:rsidR="00690BBA">
        <w:rPr>
          <w:rFonts w:ascii="IBM Plex Sans" w:hAnsi="IBM Plex Sans"/>
          <w:sz w:val="22"/>
          <w:szCs w:val="22"/>
        </w:rPr>
        <w:t>are</w:t>
      </w:r>
      <w:r w:rsidR="006714EF" w:rsidRPr="00690BBA">
        <w:rPr>
          <w:rFonts w:ascii="IBM Plex Sans" w:hAnsi="IBM Plex Sans"/>
          <w:sz w:val="22"/>
          <w:szCs w:val="22"/>
        </w:rPr>
        <w:t xml:space="preserve"> twofold: </w:t>
      </w:r>
    </w:p>
    <w:p w14:paraId="163E6F3A" w14:textId="77777777" w:rsidR="00690BBA" w:rsidRDefault="006714EF" w:rsidP="00690BBA">
      <w:pPr>
        <w:numPr>
          <w:ilvl w:val="1"/>
          <w:numId w:val="1"/>
        </w:numPr>
        <w:rPr>
          <w:rFonts w:ascii="IBM Plex Sans" w:hAnsi="IBM Plex Sans"/>
          <w:b/>
          <w:bCs/>
          <w:sz w:val="22"/>
          <w:szCs w:val="22"/>
        </w:rPr>
      </w:pPr>
      <w:r w:rsidRPr="00690BBA">
        <w:rPr>
          <w:rFonts w:ascii="IBM Plex Sans" w:hAnsi="IBM Plex Sans"/>
          <w:sz w:val="22"/>
          <w:szCs w:val="22"/>
        </w:rPr>
        <w:t>To provide an adequate background and intelligible context for the writing of an interdisciplinary dissertation</w:t>
      </w:r>
      <w:r w:rsidR="004D63A3" w:rsidRPr="00690BBA">
        <w:rPr>
          <w:rFonts w:ascii="IBM Plex Sans" w:hAnsi="IBM Plex Sans"/>
          <w:sz w:val="22"/>
          <w:szCs w:val="22"/>
        </w:rPr>
        <w:t>, where adequacy and intelligibility are determined by the examining committee in relation to the specific texts and areas being examined</w:t>
      </w:r>
      <w:r w:rsidRPr="00690BBA">
        <w:rPr>
          <w:rFonts w:ascii="IBM Plex Sans" w:hAnsi="IBM Plex Sans"/>
          <w:sz w:val="22"/>
          <w:szCs w:val="22"/>
        </w:rPr>
        <w:t xml:space="preserve">; </w:t>
      </w:r>
    </w:p>
    <w:p w14:paraId="46038EF0" w14:textId="637B3F3A" w:rsidR="008C299F" w:rsidRPr="00690BBA" w:rsidRDefault="006714EF" w:rsidP="00690BBA">
      <w:pPr>
        <w:numPr>
          <w:ilvl w:val="1"/>
          <w:numId w:val="1"/>
        </w:numPr>
        <w:rPr>
          <w:rFonts w:ascii="IBM Plex Sans" w:hAnsi="IBM Plex Sans"/>
          <w:b/>
          <w:bCs/>
          <w:sz w:val="22"/>
          <w:szCs w:val="22"/>
        </w:rPr>
      </w:pPr>
      <w:r w:rsidRPr="00690BBA">
        <w:rPr>
          <w:rFonts w:ascii="IBM Plex Sans" w:hAnsi="IBM Plex Sans"/>
          <w:sz w:val="22"/>
          <w:szCs w:val="22"/>
        </w:rPr>
        <w:t>To ensure sufficient breadth of scholarly knowledge</w:t>
      </w:r>
      <w:r w:rsidR="00D46B91" w:rsidRPr="00690BBA">
        <w:rPr>
          <w:rFonts w:ascii="IBM Plex Sans" w:hAnsi="IBM Plex Sans"/>
          <w:sz w:val="22"/>
          <w:szCs w:val="22"/>
        </w:rPr>
        <w:t xml:space="preserve"> (again determined by the examining committee in relation to the specific texts and areas being examined)</w:t>
      </w:r>
      <w:r w:rsidRPr="00690BBA">
        <w:rPr>
          <w:rFonts w:ascii="IBM Plex Sans" w:hAnsi="IBM Plex Sans"/>
          <w:sz w:val="22"/>
          <w:szCs w:val="22"/>
        </w:rPr>
        <w:t xml:space="preserve"> </w:t>
      </w:r>
      <w:r w:rsidR="00A7013F">
        <w:rPr>
          <w:rFonts w:ascii="IBM Plex Sans" w:hAnsi="IBM Plex Sans"/>
          <w:sz w:val="22"/>
          <w:szCs w:val="22"/>
        </w:rPr>
        <w:t xml:space="preserve">in order </w:t>
      </w:r>
      <w:r w:rsidRPr="00690BBA">
        <w:rPr>
          <w:rFonts w:ascii="IBM Plex Sans" w:hAnsi="IBM Plex Sans"/>
          <w:sz w:val="22"/>
          <w:szCs w:val="22"/>
        </w:rPr>
        <w:t>to prepare the candidate for a career in university research and teaching.</w:t>
      </w:r>
    </w:p>
    <w:p w14:paraId="0196F3CC" w14:textId="77777777" w:rsidR="00D257DF" w:rsidRPr="00690BBA" w:rsidRDefault="00D257DF" w:rsidP="008C299F">
      <w:pPr>
        <w:ind w:left="720"/>
        <w:rPr>
          <w:rFonts w:ascii="IBM Plex Sans" w:hAnsi="IBM Plex Sans"/>
          <w:sz w:val="22"/>
          <w:szCs w:val="22"/>
        </w:rPr>
      </w:pPr>
    </w:p>
    <w:p w14:paraId="591963CB" w14:textId="128F36A2" w:rsidR="00B14ABD" w:rsidRPr="00690BBA" w:rsidRDefault="00B14ABD" w:rsidP="00B14ABD">
      <w:pPr>
        <w:numPr>
          <w:ilvl w:val="0"/>
          <w:numId w:val="1"/>
        </w:numPr>
        <w:rPr>
          <w:rFonts w:ascii="IBM Plex Sans" w:hAnsi="IBM Plex Sans"/>
          <w:b/>
          <w:bCs/>
          <w:sz w:val="22"/>
          <w:szCs w:val="22"/>
        </w:rPr>
      </w:pPr>
      <w:r w:rsidRPr="00690BBA">
        <w:rPr>
          <w:rFonts w:ascii="IBM Plex Sans" w:hAnsi="IBM Plex Sans"/>
          <w:b/>
          <w:bCs/>
          <w:sz w:val="22"/>
          <w:szCs w:val="22"/>
        </w:rPr>
        <w:t xml:space="preserve">Timing and Scheduling </w:t>
      </w:r>
    </w:p>
    <w:p w14:paraId="1B2F975B" w14:textId="4345E2A4" w:rsidR="00225159" w:rsidRPr="00690BBA" w:rsidRDefault="00225159" w:rsidP="00225159">
      <w:pPr>
        <w:ind w:left="720"/>
        <w:rPr>
          <w:rFonts w:ascii="IBM Plex Sans" w:hAnsi="IBM Plex Sans"/>
          <w:sz w:val="22"/>
          <w:szCs w:val="22"/>
        </w:rPr>
      </w:pPr>
      <w:r w:rsidRPr="00690BBA">
        <w:rPr>
          <w:rFonts w:ascii="IBM Plex Sans" w:hAnsi="IBM Plex Sans"/>
          <w:sz w:val="22"/>
          <w:szCs w:val="22"/>
        </w:rPr>
        <w:t xml:space="preserve">Students will complete their </w:t>
      </w:r>
      <w:r w:rsidR="00A7013F">
        <w:rPr>
          <w:rFonts w:ascii="IBM Plex Sans" w:hAnsi="IBM Plex Sans"/>
          <w:sz w:val="22"/>
          <w:szCs w:val="22"/>
        </w:rPr>
        <w:t>comprehensive examination</w:t>
      </w:r>
      <w:r w:rsidRPr="00690BBA">
        <w:rPr>
          <w:rFonts w:ascii="IBM Plex Sans" w:hAnsi="IBM Plex Sans"/>
          <w:sz w:val="22"/>
          <w:szCs w:val="22"/>
        </w:rPr>
        <w:t xml:space="preserve"> </w:t>
      </w:r>
      <w:r w:rsidR="006714EF" w:rsidRPr="00690BBA">
        <w:rPr>
          <w:rFonts w:ascii="IBM Plex Sans" w:hAnsi="IBM Plex Sans"/>
          <w:sz w:val="22"/>
          <w:szCs w:val="22"/>
        </w:rPr>
        <w:t xml:space="preserve">after completing their coursework, and prior to submitting their </w:t>
      </w:r>
      <w:r w:rsidR="00A7013F">
        <w:rPr>
          <w:rFonts w:ascii="IBM Plex Sans" w:hAnsi="IBM Plex Sans"/>
          <w:sz w:val="22"/>
          <w:szCs w:val="22"/>
        </w:rPr>
        <w:t>d</w:t>
      </w:r>
      <w:r w:rsidR="006714EF" w:rsidRPr="00690BBA">
        <w:rPr>
          <w:rFonts w:ascii="IBM Plex Sans" w:hAnsi="IBM Plex Sans"/>
          <w:sz w:val="22"/>
          <w:szCs w:val="22"/>
        </w:rPr>
        <w:t xml:space="preserve">issertation </w:t>
      </w:r>
      <w:r w:rsidR="00A7013F">
        <w:rPr>
          <w:rFonts w:ascii="IBM Plex Sans" w:hAnsi="IBM Plex Sans"/>
          <w:sz w:val="22"/>
          <w:szCs w:val="22"/>
        </w:rPr>
        <w:t>p</w:t>
      </w:r>
      <w:r w:rsidR="006714EF" w:rsidRPr="00690BBA">
        <w:rPr>
          <w:rFonts w:ascii="IBM Plex Sans" w:hAnsi="IBM Plex Sans"/>
          <w:sz w:val="22"/>
          <w:szCs w:val="22"/>
        </w:rPr>
        <w:t xml:space="preserve">roposal. Ideally, this means that the </w:t>
      </w:r>
      <w:r w:rsidR="00A7013F">
        <w:rPr>
          <w:rFonts w:ascii="IBM Plex Sans" w:hAnsi="IBM Plex Sans"/>
          <w:sz w:val="22"/>
          <w:szCs w:val="22"/>
        </w:rPr>
        <w:t>examination</w:t>
      </w:r>
      <w:r w:rsidR="006714EF" w:rsidRPr="00690BBA">
        <w:rPr>
          <w:rFonts w:ascii="IBM Plex Sans" w:hAnsi="IBM Plex Sans"/>
          <w:sz w:val="22"/>
          <w:szCs w:val="22"/>
        </w:rPr>
        <w:t xml:space="preserve"> will be completed during the Fall semester (or early Winter) of their third year of study.</w:t>
      </w:r>
    </w:p>
    <w:p w14:paraId="54FB4AD6" w14:textId="4772DEAA" w:rsidR="00D257DF" w:rsidRPr="00690BBA" w:rsidRDefault="00D257DF" w:rsidP="00225159">
      <w:pPr>
        <w:ind w:left="720"/>
        <w:rPr>
          <w:rFonts w:ascii="IBM Plex Sans" w:hAnsi="IBM Plex Sans"/>
          <w:sz w:val="22"/>
          <w:szCs w:val="22"/>
        </w:rPr>
      </w:pPr>
    </w:p>
    <w:p w14:paraId="12E0F6F3" w14:textId="40723B7C" w:rsidR="00D257DF" w:rsidRPr="00690BBA" w:rsidRDefault="00D257DF" w:rsidP="00D257DF">
      <w:pPr>
        <w:ind w:left="720"/>
        <w:rPr>
          <w:rFonts w:ascii="IBM Plex Sans" w:hAnsi="IBM Plex Sans"/>
          <w:sz w:val="22"/>
          <w:szCs w:val="22"/>
        </w:rPr>
      </w:pPr>
      <w:r w:rsidRPr="00690BBA">
        <w:rPr>
          <w:rFonts w:ascii="IBM Plex Sans" w:hAnsi="IBM Plex Sans"/>
          <w:sz w:val="22"/>
          <w:szCs w:val="22"/>
        </w:rPr>
        <w:t>Arrangements with respect to time, place, date</w:t>
      </w:r>
      <w:r w:rsidR="00A7013F">
        <w:rPr>
          <w:rFonts w:ascii="IBM Plex Sans" w:hAnsi="IBM Plex Sans"/>
          <w:sz w:val="22"/>
          <w:szCs w:val="22"/>
        </w:rPr>
        <w:t>,</w:t>
      </w:r>
      <w:r w:rsidRPr="00690BBA">
        <w:rPr>
          <w:rFonts w:ascii="IBM Plex Sans" w:hAnsi="IBM Plex Sans"/>
          <w:sz w:val="22"/>
          <w:szCs w:val="22"/>
        </w:rPr>
        <w:t xml:space="preserve"> and composition of the examining committee must be made through the Program office for the Director</w:t>
      </w:r>
      <w:r w:rsidR="00A7013F">
        <w:rPr>
          <w:rFonts w:ascii="IBM Plex Sans" w:hAnsi="IBM Plex Sans"/>
          <w:sz w:val="22"/>
          <w:szCs w:val="22"/>
        </w:rPr>
        <w:t>’</w:t>
      </w:r>
      <w:r w:rsidRPr="00690BBA">
        <w:rPr>
          <w:rFonts w:ascii="IBM Plex Sans" w:hAnsi="IBM Plex Sans"/>
          <w:sz w:val="22"/>
          <w:szCs w:val="22"/>
        </w:rPr>
        <w:t xml:space="preserve">s approval at least </w:t>
      </w:r>
      <w:r w:rsidRPr="00690BBA">
        <w:rPr>
          <w:rFonts w:ascii="IBM Plex Sans" w:hAnsi="IBM Plex Sans"/>
          <w:color w:val="000000" w:themeColor="text1"/>
          <w:sz w:val="22"/>
          <w:szCs w:val="22"/>
        </w:rPr>
        <w:t>one month prior to the examination. The comprehensive examination committee consists of three members of the Program who are familiar with a student</w:t>
      </w:r>
      <w:r w:rsidR="00A7013F">
        <w:rPr>
          <w:rFonts w:ascii="IBM Plex Sans" w:hAnsi="IBM Plex Sans"/>
          <w:color w:val="000000" w:themeColor="text1"/>
          <w:sz w:val="22"/>
          <w:szCs w:val="22"/>
        </w:rPr>
        <w:t>’</w:t>
      </w:r>
      <w:r w:rsidRPr="00690BBA">
        <w:rPr>
          <w:rFonts w:ascii="IBM Plex Sans" w:hAnsi="IBM Plex Sans"/>
          <w:color w:val="000000" w:themeColor="text1"/>
          <w:sz w:val="22"/>
          <w:szCs w:val="22"/>
        </w:rPr>
        <w:t>s work and the Director</w:t>
      </w:r>
      <w:r w:rsidR="00D46B91" w:rsidRPr="00690BBA">
        <w:rPr>
          <w:rFonts w:ascii="IBM Plex Sans" w:hAnsi="IBM Plex Sans"/>
          <w:color w:val="000000" w:themeColor="text1"/>
          <w:sz w:val="22"/>
          <w:szCs w:val="22"/>
        </w:rPr>
        <w:t xml:space="preserve"> (</w:t>
      </w:r>
      <w:r w:rsidRPr="00690BBA">
        <w:rPr>
          <w:rFonts w:ascii="IBM Plex Sans" w:hAnsi="IBM Plex Sans"/>
          <w:color w:val="000000" w:themeColor="text1"/>
          <w:sz w:val="22"/>
          <w:szCs w:val="22"/>
        </w:rPr>
        <w:t>or representative</w:t>
      </w:r>
      <w:r w:rsidR="00D46B91" w:rsidRPr="00690BBA">
        <w:rPr>
          <w:rFonts w:ascii="IBM Plex Sans" w:hAnsi="IBM Plex Sans"/>
          <w:color w:val="000000" w:themeColor="text1"/>
          <w:sz w:val="22"/>
          <w:szCs w:val="22"/>
        </w:rPr>
        <w:t>)</w:t>
      </w:r>
      <w:r w:rsidRPr="00690BBA">
        <w:rPr>
          <w:rFonts w:ascii="IBM Plex Sans" w:hAnsi="IBM Plex Sans"/>
          <w:color w:val="000000" w:themeColor="text1"/>
          <w:sz w:val="22"/>
          <w:szCs w:val="22"/>
        </w:rPr>
        <w:t>. The student will consult with their committee members to determine a suitable date and time for the exam</w:t>
      </w:r>
      <w:r w:rsidR="00A7013F">
        <w:rPr>
          <w:rFonts w:ascii="IBM Plex Sans" w:hAnsi="IBM Plex Sans"/>
          <w:color w:val="000000" w:themeColor="text1"/>
          <w:sz w:val="22"/>
          <w:szCs w:val="22"/>
        </w:rPr>
        <w:t>,</w:t>
      </w:r>
      <w:r w:rsidR="00D87E83" w:rsidRPr="00690BBA">
        <w:rPr>
          <w:rFonts w:ascii="IBM Plex Sans" w:hAnsi="IBM Plex Sans"/>
          <w:color w:val="000000" w:themeColor="text1"/>
          <w:sz w:val="22"/>
          <w:szCs w:val="22"/>
        </w:rPr>
        <w:t xml:space="preserve"> and the supervisory committee will approve the bibliography prior to submitting it to the </w:t>
      </w:r>
      <w:r w:rsidR="00A7013F">
        <w:rPr>
          <w:rFonts w:ascii="IBM Plex Sans" w:hAnsi="IBM Plex Sans"/>
          <w:color w:val="000000" w:themeColor="text1"/>
          <w:sz w:val="22"/>
          <w:szCs w:val="22"/>
        </w:rPr>
        <w:t>P</w:t>
      </w:r>
      <w:r w:rsidR="00D87E83" w:rsidRPr="00690BBA">
        <w:rPr>
          <w:rFonts w:ascii="IBM Plex Sans" w:hAnsi="IBM Plex Sans"/>
          <w:color w:val="000000" w:themeColor="text1"/>
          <w:sz w:val="22"/>
          <w:szCs w:val="22"/>
        </w:rPr>
        <w:t>rogram office</w:t>
      </w:r>
      <w:r w:rsidRPr="00690BBA">
        <w:rPr>
          <w:rFonts w:ascii="IBM Plex Sans" w:hAnsi="IBM Plex Sans"/>
          <w:color w:val="000000" w:themeColor="text1"/>
          <w:sz w:val="22"/>
          <w:szCs w:val="22"/>
        </w:rPr>
        <w:t xml:space="preserve">. The student will then provide to the Director (in writing or by email) the names of the three committee members, the proposed time and date of the exam, and the bibliography. Once the bibliography and committee </w:t>
      </w:r>
      <w:r w:rsidR="00D46B91" w:rsidRPr="00690BBA">
        <w:rPr>
          <w:rFonts w:ascii="IBM Plex Sans" w:hAnsi="IBM Plex Sans"/>
          <w:color w:val="000000" w:themeColor="text1"/>
          <w:sz w:val="22"/>
          <w:szCs w:val="22"/>
        </w:rPr>
        <w:t xml:space="preserve">are </w:t>
      </w:r>
      <w:r w:rsidRPr="00690BBA">
        <w:rPr>
          <w:rFonts w:ascii="IBM Plex Sans" w:hAnsi="IBM Plex Sans"/>
          <w:color w:val="000000" w:themeColor="text1"/>
          <w:sz w:val="22"/>
          <w:szCs w:val="22"/>
        </w:rPr>
        <w:t>approved by the Director and a</w:t>
      </w:r>
      <w:r w:rsidR="00A7013F">
        <w:rPr>
          <w:rFonts w:ascii="IBM Plex Sans" w:hAnsi="IBM Plex Sans"/>
          <w:color w:val="000000" w:themeColor="text1"/>
          <w:sz w:val="22"/>
          <w:szCs w:val="22"/>
        </w:rPr>
        <w:t xml:space="preserve"> </w:t>
      </w:r>
      <w:r w:rsidRPr="00690BBA">
        <w:rPr>
          <w:rFonts w:ascii="IBM Plex Sans" w:hAnsi="IBM Plex Sans"/>
          <w:color w:val="000000" w:themeColor="text1"/>
          <w:sz w:val="22"/>
          <w:szCs w:val="22"/>
        </w:rPr>
        <w:t>representative has been selected, the Program A</w:t>
      </w:r>
      <w:r w:rsidR="00D87E83" w:rsidRPr="00690BBA">
        <w:rPr>
          <w:rFonts w:ascii="IBM Plex Sans" w:hAnsi="IBM Plex Sans"/>
          <w:color w:val="000000" w:themeColor="text1"/>
          <w:sz w:val="22"/>
          <w:szCs w:val="22"/>
        </w:rPr>
        <w:t>dministrator</w:t>
      </w:r>
      <w:r w:rsidRPr="00690BBA">
        <w:rPr>
          <w:rFonts w:ascii="IBM Plex Sans" w:hAnsi="IBM Plex Sans"/>
          <w:color w:val="000000" w:themeColor="text1"/>
          <w:sz w:val="22"/>
          <w:szCs w:val="22"/>
        </w:rPr>
        <w:t xml:space="preserve"> will contact the faculty member nominated </w:t>
      </w:r>
      <w:r w:rsidR="00A7013F">
        <w:rPr>
          <w:rFonts w:ascii="IBM Plex Sans" w:hAnsi="IBM Plex Sans"/>
          <w:color w:val="000000" w:themeColor="text1"/>
          <w:sz w:val="22"/>
          <w:szCs w:val="22"/>
        </w:rPr>
        <w:t>as</w:t>
      </w:r>
      <w:r w:rsidRPr="00690BBA">
        <w:rPr>
          <w:rFonts w:ascii="IBM Plex Sans" w:hAnsi="IBM Plex Sans"/>
          <w:color w:val="000000" w:themeColor="text1"/>
          <w:sz w:val="22"/>
          <w:szCs w:val="22"/>
        </w:rPr>
        <w:t xml:space="preserve"> Director</w:t>
      </w:r>
      <w:r w:rsidR="00A7013F">
        <w:rPr>
          <w:rFonts w:ascii="IBM Plex Sans" w:hAnsi="IBM Plex Sans"/>
          <w:color w:val="000000" w:themeColor="text1"/>
          <w:sz w:val="22"/>
          <w:szCs w:val="22"/>
        </w:rPr>
        <w:t>’</w:t>
      </w:r>
      <w:r w:rsidRPr="00690BBA">
        <w:rPr>
          <w:rFonts w:ascii="IBM Plex Sans" w:hAnsi="IBM Plex Sans"/>
          <w:color w:val="000000" w:themeColor="text1"/>
          <w:sz w:val="22"/>
          <w:szCs w:val="22"/>
        </w:rPr>
        <w:t>s Rep. and arrange the comprehensive exam. Official notification of the exam will be sent (by email) to all participants from the Program Office</w:t>
      </w:r>
      <w:r w:rsidR="00D87E83" w:rsidRPr="00690BBA">
        <w:rPr>
          <w:rFonts w:ascii="IBM Plex Sans" w:hAnsi="IBM Plex Sans"/>
          <w:color w:val="000000" w:themeColor="text1"/>
          <w:sz w:val="22"/>
          <w:szCs w:val="22"/>
        </w:rPr>
        <w:t xml:space="preserve"> along with the form to be complete by the faculty members at the exam</w:t>
      </w:r>
      <w:r w:rsidRPr="00690BBA">
        <w:rPr>
          <w:rFonts w:ascii="IBM Plex Sans" w:hAnsi="IBM Plex Sans"/>
          <w:color w:val="000000" w:themeColor="text1"/>
          <w:sz w:val="22"/>
          <w:szCs w:val="22"/>
        </w:rPr>
        <w:t xml:space="preserve">. </w:t>
      </w:r>
    </w:p>
    <w:p w14:paraId="1CD50151" w14:textId="77777777" w:rsidR="00D257DF" w:rsidRPr="00690BBA" w:rsidRDefault="00D257DF" w:rsidP="00225159">
      <w:pPr>
        <w:ind w:left="720"/>
        <w:rPr>
          <w:rFonts w:ascii="IBM Plex Sans" w:hAnsi="IBM Plex Sans"/>
          <w:sz w:val="22"/>
          <w:szCs w:val="22"/>
        </w:rPr>
      </w:pPr>
    </w:p>
    <w:p w14:paraId="29E3F538" w14:textId="77777777" w:rsidR="006714EF" w:rsidRPr="00690BBA" w:rsidRDefault="006714EF" w:rsidP="00225159">
      <w:pPr>
        <w:ind w:left="720"/>
        <w:rPr>
          <w:rFonts w:ascii="IBM Plex Sans" w:hAnsi="IBM Plex Sans"/>
          <w:sz w:val="22"/>
          <w:szCs w:val="22"/>
        </w:rPr>
      </w:pPr>
    </w:p>
    <w:p w14:paraId="4858FCDA" w14:textId="18E9093F" w:rsidR="00D257DF" w:rsidRPr="00690BBA" w:rsidRDefault="00B14ABD" w:rsidP="00A63171">
      <w:pPr>
        <w:numPr>
          <w:ilvl w:val="0"/>
          <w:numId w:val="1"/>
        </w:numPr>
        <w:rPr>
          <w:rFonts w:ascii="IBM Plex Sans" w:hAnsi="IBM Plex Sans"/>
          <w:b/>
          <w:bCs/>
          <w:sz w:val="22"/>
          <w:szCs w:val="22"/>
        </w:rPr>
      </w:pPr>
      <w:r w:rsidRPr="00690BBA">
        <w:rPr>
          <w:rFonts w:ascii="IBM Plex Sans" w:hAnsi="IBM Plex Sans"/>
          <w:b/>
          <w:bCs/>
          <w:sz w:val="22"/>
          <w:szCs w:val="22"/>
        </w:rPr>
        <w:t xml:space="preserve">Format and Structure </w:t>
      </w:r>
    </w:p>
    <w:p w14:paraId="2FEA1ED4" w14:textId="77777777" w:rsidR="00D257DF" w:rsidRPr="00690BBA" w:rsidRDefault="00D257DF" w:rsidP="00D257DF">
      <w:pPr>
        <w:ind w:left="720"/>
        <w:rPr>
          <w:rFonts w:ascii="IBM Plex Sans" w:hAnsi="IBM Plex Sans"/>
          <w:sz w:val="22"/>
          <w:szCs w:val="22"/>
        </w:rPr>
      </w:pPr>
      <w:r w:rsidRPr="00690BBA">
        <w:rPr>
          <w:rFonts w:ascii="IBM Plex Sans" w:hAnsi="IBM Plex Sans"/>
          <w:sz w:val="22"/>
          <w:szCs w:val="22"/>
        </w:rPr>
        <w:t>The doctoral student, in consultation with the examining committee, defines two fields on which the student wishes to be examined. One field will be designated the major field, the other the minor field.</w:t>
      </w:r>
      <w:r w:rsidRPr="00690BBA">
        <w:rPr>
          <w:rFonts w:ascii="IBM Plex Sans" w:hAnsi="IBM Plex Sans"/>
          <w:sz w:val="22"/>
          <w:szCs w:val="22"/>
        </w:rPr>
        <w:br/>
      </w:r>
    </w:p>
    <w:p w14:paraId="1B6DEFD0" w14:textId="1D5DBB60" w:rsidR="00D257DF" w:rsidRPr="00690BBA" w:rsidRDefault="00D257DF" w:rsidP="00D257DF">
      <w:pPr>
        <w:ind w:left="720"/>
        <w:rPr>
          <w:rFonts w:ascii="IBM Plex Sans" w:hAnsi="IBM Plex Sans"/>
          <w:sz w:val="22"/>
          <w:szCs w:val="22"/>
        </w:rPr>
      </w:pPr>
      <w:r w:rsidRPr="00690BBA">
        <w:rPr>
          <w:rFonts w:ascii="IBM Plex Sans" w:hAnsi="IBM Plex Sans"/>
          <w:sz w:val="22"/>
          <w:szCs w:val="22"/>
        </w:rPr>
        <w:t xml:space="preserve">Determination of the fields should be guided by the following considerations: </w:t>
      </w:r>
    </w:p>
    <w:p w14:paraId="6395B57C" w14:textId="77777777" w:rsidR="00D257DF" w:rsidRPr="00690BBA" w:rsidRDefault="00D257DF" w:rsidP="00D257DF">
      <w:pPr>
        <w:numPr>
          <w:ilvl w:val="0"/>
          <w:numId w:val="3"/>
        </w:numPr>
        <w:rPr>
          <w:rFonts w:ascii="IBM Plex Sans" w:hAnsi="IBM Plex Sans"/>
          <w:sz w:val="22"/>
          <w:szCs w:val="22"/>
        </w:rPr>
      </w:pPr>
      <w:r w:rsidRPr="00690BBA">
        <w:rPr>
          <w:rFonts w:ascii="IBM Plex Sans" w:hAnsi="IBM Plex Sans"/>
          <w:sz w:val="22"/>
          <w:szCs w:val="22"/>
        </w:rPr>
        <w:t xml:space="preserve">Fields must not be excessively narrow </w:t>
      </w:r>
    </w:p>
    <w:p w14:paraId="0160355C" w14:textId="77777777" w:rsidR="00D257DF" w:rsidRPr="00690BBA" w:rsidRDefault="00D257DF" w:rsidP="00D257DF">
      <w:pPr>
        <w:numPr>
          <w:ilvl w:val="0"/>
          <w:numId w:val="3"/>
        </w:numPr>
        <w:rPr>
          <w:rFonts w:ascii="IBM Plex Sans" w:hAnsi="IBM Plex Sans"/>
          <w:sz w:val="22"/>
          <w:szCs w:val="22"/>
        </w:rPr>
      </w:pPr>
      <w:r w:rsidRPr="00690BBA">
        <w:rPr>
          <w:rFonts w:ascii="IBM Plex Sans" w:hAnsi="IBM Plex Sans"/>
          <w:sz w:val="22"/>
          <w:szCs w:val="22"/>
        </w:rPr>
        <w:lastRenderedPageBreak/>
        <w:t xml:space="preserve">One field must not subsume another </w:t>
      </w:r>
    </w:p>
    <w:p w14:paraId="62EBBFB2" w14:textId="77777777" w:rsidR="00D257DF" w:rsidRPr="00690BBA" w:rsidRDefault="00D257DF" w:rsidP="00D257DF">
      <w:pPr>
        <w:numPr>
          <w:ilvl w:val="0"/>
          <w:numId w:val="3"/>
        </w:numPr>
        <w:rPr>
          <w:rFonts w:ascii="IBM Plex Sans" w:hAnsi="IBM Plex Sans"/>
          <w:sz w:val="22"/>
          <w:szCs w:val="22"/>
        </w:rPr>
      </w:pPr>
      <w:r w:rsidRPr="00690BBA">
        <w:rPr>
          <w:rFonts w:ascii="IBM Plex Sans" w:hAnsi="IBM Plex Sans"/>
          <w:sz w:val="22"/>
          <w:szCs w:val="22"/>
        </w:rPr>
        <w:t xml:space="preserve">Both fields may not be primarily in the same discipline </w:t>
      </w:r>
    </w:p>
    <w:p w14:paraId="0925EF21" w14:textId="77777777" w:rsidR="00D257DF" w:rsidRPr="00690BBA" w:rsidRDefault="00D257DF" w:rsidP="00D257DF">
      <w:pPr>
        <w:numPr>
          <w:ilvl w:val="0"/>
          <w:numId w:val="3"/>
        </w:numPr>
        <w:rPr>
          <w:rFonts w:ascii="IBM Plex Sans" w:hAnsi="IBM Plex Sans"/>
          <w:sz w:val="22"/>
          <w:szCs w:val="22"/>
        </w:rPr>
      </w:pPr>
      <w:r w:rsidRPr="00690BBA">
        <w:rPr>
          <w:rFonts w:ascii="IBM Plex Sans" w:hAnsi="IBM Plex Sans"/>
          <w:sz w:val="22"/>
          <w:szCs w:val="22"/>
        </w:rPr>
        <w:t xml:space="preserve">At least one field must not be limited primarily to the twentieth or twenty-first century. </w:t>
      </w:r>
    </w:p>
    <w:p w14:paraId="3A2579EA" w14:textId="77777777" w:rsidR="00D257DF" w:rsidRPr="00690BBA" w:rsidRDefault="00D257DF" w:rsidP="00D257DF">
      <w:pPr>
        <w:ind w:left="720"/>
        <w:rPr>
          <w:rFonts w:ascii="IBM Plex Sans" w:hAnsi="IBM Plex Sans"/>
          <w:sz w:val="22"/>
          <w:szCs w:val="22"/>
        </w:rPr>
      </w:pPr>
    </w:p>
    <w:p w14:paraId="0F536D4E" w14:textId="25A25705" w:rsidR="00D257DF" w:rsidRPr="00690BBA" w:rsidRDefault="00D257DF" w:rsidP="00D257DF">
      <w:pPr>
        <w:ind w:left="720"/>
        <w:rPr>
          <w:rFonts w:ascii="IBM Plex Sans" w:hAnsi="IBM Plex Sans"/>
          <w:sz w:val="22"/>
          <w:szCs w:val="22"/>
        </w:rPr>
      </w:pPr>
      <w:r w:rsidRPr="00690BBA">
        <w:rPr>
          <w:rFonts w:ascii="IBM Plex Sans" w:hAnsi="IBM Plex Sans"/>
          <w:sz w:val="22"/>
          <w:szCs w:val="22"/>
        </w:rPr>
        <w:t xml:space="preserve">Students should demonstrate a broad familiarity with the major texts, issues and critics in any given field. Examples of acceptable fields include but are not limited to: </w:t>
      </w:r>
    </w:p>
    <w:p w14:paraId="0C07D8F4" w14:textId="77777777" w:rsidR="00D257DF" w:rsidRPr="00690BBA" w:rsidRDefault="00D257DF" w:rsidP="00D257DF">
      <w:pPr>
        <w:ind w:left="720"/>
        <w:rPr>
          <w:rFonts w:ascii="IBM Plex Sans" w:hAnsi="IBM Plex Sans"/>
          <w:sz w:val="22"/>
          <w:szCs w:val="22"/>
        </w:rPr>
      </w:pPr>
    </w:p>
    <w:p w14:paraId="3DE538D0" w14:textId="57CA6EC1" w:rsidR="00D257DF" w:rsidRPr="00690BBA" w:rsidRDefault="00D257DF" w:rsidP="00D257DF">
      <w:pPr>
        <w:ind w:left="720"/>
        <w:rPr>
          <w:rFonts w:ascii="IBM Plex Sans" w:hAnsi="IBM Plex Sans"/>
          <w:sz w:val="22"/>
          <w:szCs w:val="22"/>
        </w:rPr>
        <w:sectPr w:rsidR="00D257DF" w:rsidRPr="00690BBA">
          <w:footerReference w:type="default" r:id="rId7"/>
          <w:pgSz w:w="12240" w:h="15840"/>
          <w:pgMar w:top="1440" w:right="1440" w:bottom="1440" w:left="1440" w:header="708" w:footer="708" w:gutter="0"/>
          <w:cols w:space="708"/>
          <w:docGrid w:linePitch="360"/>
        </w:sectPr>
      </w:pPr>
    </w:p>
    <w:p w14:paraId="0E94F22D"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Psychoanalysis/ Psychoanalytic Theory </w:t>
      </w:r>
    </w:p>
    <w:p w14:paraId="031B5B9A"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Structuralist and Poststructuralist Theory </w:t>
      </w:r>
    </w:p>
    <w:p w14:paraId="4B95DFB6"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Postcolonial Theory </w:t>
      </w:r>
    </w:p>
    <w:p w14:paraId="4FB42EDF"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Queer Theory </w:t>
      </w:r>
    </w:p>
    <w:p w14:paraId="4E77051E"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Feminist Theory </w:t>
      </w:r>
    </w:p>
    <w:p w14:paraId="470C1D26"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Critical Race Theory </w:t>
      </w:r>
    </w:p>
    <w:p w14:paraId="36C71F0F"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Kant and Enlightenment </w:t>
      </w:r>
    </w:p>
    <w:p w14:paraId="0FFF5DA4"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Globalization and the Nation State </w:t>
      </w:r>
    </w:p>
    <w:p w14:paraId="52B8123A" w14:textId="77777777" w:rsidR="00D257DF" w:rsidRPr="00690BBA" w:rsidRDefault="00D257DF" w:rsidP="00D257DF">
      <w:pPr>
        <w:numPr>
          <w:ilvl w:val="0"/>
          <w:numId w:val="4"/>
        </w:numPr>
        <w:rPr>
          <w:rFonts w:ascii="IBM Plex Sans" w:hAnsi="IBM Plex Sans"/>
          <w:sz w:val="22"/>
          <w:szCs w:val="22"/>
        </w:rPr>
      </w:pPr>
      <w:proofErr w:type="spellStart"/>
      <w:r w:rsidRPr="00690BBA">
        <w:rPr>
          <w:rFonts w:ascii="IBM Plex Sans" w:hAnsi="IBM Plex Sans"/>
          <w:sz w:val="22"/>
          <w:szCs w:val="22"/>
        </w:rPr>
        <w:t>Im</w:t>
      </w:r>
      <w:proofErr w:type="spellEnd"/>
      <w:r w:rsidRPr="00690BBA">
        <w:rPr>
          <w:rFonts w:ascii="IBM Plex Sans" w:hAnsi="IBM Plex Sans"/>
          <w:sz w:val="22"/>
          <w:szCs w:val="22"/>
        </w:rPr>
        <w:t xml:space="preserve">/migration, multiculturalism and cosmopolitanism </w:t>
      </w:r>
    </w:p>
    <w:p w14:paraId="7AA01701"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Social Theories of Religion and Modernity </w:t>
      </w:r>
    </w:p>
    <w:p w14:paraId="6A9F7CB1"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20th Century Historiography </w:t>
      </w:r>
    </w:p>
    <w:p w14:paraId="037F91E8"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Theorizing Social Determinants of Health </w:t>
      </w:r>
    </w:p>
    <w:p w14:paraId="500D3192"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Philosophical Anthropology </w:t>
      </w:r>
    </w:p>
    <w:p w14:paraId="25338209"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Theories of the body </w:t>
      </w:r>
    </w:p>
    <w:p w14:paraId="44105E7F"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Aesthetic Theory and Public Spaces </w:t>
      </w:r>
    </w:p>
    <w:p w14:paraId="43061610"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Hegel and Marx </w:t>
      </w:r>
    </w:p>
    <w:p w14:paraId="5B893B2D"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Theories of the State </w:t>
      </w:r>
    </w:p>
    <w:p w14:paraId="3AB0259C"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Themes in Critical Theory </w:t>
      </w:r>
    </w:p>
    <w:p w14:paraId="129F999B" w14:textId="77777777" w:rsidR="00D257DF"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 xml:space="preserve">Theories of Art and Revolution </w:t>
      </w:r>
    </w:p>
    <w:p w14:paraId="4377B98A" w14:textId="77777777" w:rsidR="00D46B91" w:rsidRPr="00690BBA" w:rsidRDefault="00D257DF" w:rsidP="00D257DF">
      <w:pPr>
        <w:numPr>
          <w:ilvl w:val="0"/>
          <w:numId w:val="4"/>
        </w:numPr>
        <w:rPr>
          <w:rFonts w:ascii="IBM Plex Sans" w:hAnsi="IBM Plex Sans"/>
          <w:sz w:val="22"/>
          <w:szCs w:val="22"/>
        </w:rPr>
      </w:pPr>
      <w:r w:rsidRPr="00690BBA">
        <w:rPr>
          <w:rFonts w:ascii="IBM Plex Sans" w:hAnsi="IBM Plex Sans"/>
          <w:sz w:val="22"/>
          <w:szCs w:val="22"/>
        </w:rPr>
        <w:t>Theories of Narratology</w:t>
      </w:r>
    </w:p>
    <w:p w14:paraId="0FD4912D" w14:textId="710F3608" w:rsidR="00D257DF" w:rsidRPr="00690BBA" w:rsidRDefault="00D46B91" w:rsidP="00D257DF">
      <w:pPr>
        <w:numPr>
          <w:ilvl w:val="0"/>
          <w:numId w:val="4"/>
        </w:numPr>
        <w:rPr>
          <w:rFonts w:ascii="IBM Plex Sans" w:hAnsi="IBM Plex Sans"/>
          <w:sz w:val="22"/>
          <w:szCs w:val="22"/>
        </w:rPr>
      </w:pPr>
      <w:r w:rsidRPr="00690BBA">
        <w:rPr>
          <w:rFonts w:ascii="IBM Plex Sans" w:hAnsi="IBM Plex Sans"/>
          <w:sz w:val="22"/>
          <w:szCs w:val="22"/>
        </w:rPr>
        <w:t>Theories of Nature and Ecology</w:t>
      </w:r>
      <w:r w:rsidR="00D257DF" w:rsidRPr="00690BBA">
        <w:rPr>
          <w:rFonts w:ascii="IBM Plex Sans" w:hAnsi="IBM Plex Sans"/>
          <w:sz w:val="22"/>
          <w:szCs w:val="22"/>
        </w:rPr>
        <w:t xml:space="preserve"> </w:t>
      </w:r>
    </w:p>
    <w:p w14:paraId="1DC149B3" w14:textId="77777777" w:rsidR="00D46B91" w:rsidRPr="00690BBA" w:rsidRDefault="00D46B91" w:rsidP="00690BBA">
      <w:pPr>
        <w:rPr>
          <w:rFonts w:ascii="IBM Plex Sans" w:hAnsi="IBM Plex Sans"/>
          <w:sz w:val="22"/>
          <w:szCs w:val="22"/>
        </w:rPr>
        <w:sectPr w:rsidR="00D46B91" w:rsidRPr="00690BBA" w:rsidSect="00D257DF">
          <w:type w:val="continuous"/>
          <w:pgSz w:w="12240" w:h="15840"/>
          <w:pgMar w:top="1440" w:right="1440" w:bottom="1440" w:left="1440" w:header="708" w:footer="708" w:gutter="0"/>
          <w:cols w:num="2" w:space="708"/>
          <w:docGrid w:linePitch="360"/>
        </w:sectPr>
      </w:pPr>
    </w:p>
    <w:p w14:paraId="63F9A8AE" w14:textId="77777777" w:rsidR="00D257DF" w:rsidRPr="00690BBA" w:rsidRDefault="00D257DF" w:rsidP="00D257DF">
      <w:pPr>
        <w:ind w:left="720"/>
        <w:rPr>
          <w:rFonts w:ascii="IBM Plex Sans" w:hAnsi="IBM Plex Sans"/>
          <w:sz w:val="22"/>
          <w:szCs w:val="22"/>
        </w:rPr>
      </w:pPr>
    </w:p>
    <w:p w14:paraId="1501568B" w14:textId="689FEEB4" w:rsidR="006775CC" w:rsidRPr="00690BBA" w:rsidRDefault="00D257DF" w:rsidP="00D257DF">
      <w:pPr>
        <w:ind w:left="720"/>
        <w:rPr>
          <w:rFonts w:ascii="IBM Plex Sans" w:hAnsi="IBM Plex Sans"/>
          <w:sz w:val="22"/>
          <w:szCs w:val="22"/>
        </w:rPr>
      </w:pPr>
      <w:r w:rsidRPr="00690BBA">
        <w:rPr>
          <w:rFonts w:ascii="IBM Plex Sans" w:hAnsi="IBM Plex Sans"/>
          <w:sz w:val="22"/>
          <w:szCs w:val="22"/>
        </w:rPr>
        <w:t xml:space="preserve">Prior to the </w:t>
      </w:r>
      <w:r w:rsidR="004D63A3" w:rsidRPr="00690BBA">
        <w:rPr>
          <w:rFonts w:ascii="IBM Plex Sans" w:hAnsi="IBM Plex Sans"/>
          <w:sz w:val="22"/>
          <w:szCs w:val="22"/>
        </w:rPr>
        <w:t>exam</w:t>
      </w:r>
      <w:r w:rsidR="00A7013F">
        <w:rPr>
          <w:rFonts w:ascii="IBM Plex Sans" w:hAnsi="IBM Plex Sans"/>
          <w:sz w:val="22"/>
          <w:szCs w:val="22"/>
        </w:rPr>
        <w:t>ination,</w:t>
      </w:r>
      <w:r w:rsidRPr="00690BBA">
        <w:rPr>
          <w:rFonts w:ascii="IBM Plex Sans" w:hAnsi="IBM Plex Sans"/>
          <w:sz w:val="22"/>
          <w:szCs w:val="22"/>
        </w:rPr>
        <w:t xml:space="preserve"> candidates will present a bibliography of the texts relevant to the chosen fields (these must be submitted in proper format</w:t>
      </w:r>
      <w:r w:rsidR="00D46B91" w:rsidRPr="00690BBA">
        <w:rPr>
          <w:rFonts w:ascii="IBM Plex Sans" w:hAnsi="IBM Plex Sans"/>
          <w:sz w:val="22"/>
          <w:szCs w:val="22"/>
        </w:rPr>
        <w:t>,</w:t>
      </w:r>
      <w:r w:rsidRPr="00690BBA">
        <w:rPr>
          <w:rFonts w:ascii="IBM Plex Sans" w:hAnsi="IBM Plex Sans"/>
          <w:sz w:val="22"/>
          <w:szCs w:val="22"/>
        </w:rPr>
        <w:t xml:space="preserve"> i</w:t>
      </w:r>
      <w:r w:rsidR="00D46B91" w:rsidRPr="00690BBA">
        <w:rPr>
          <w:rFonts w:ascii="IBM Plex Sans" w:hAnsi="IBM Plex Sans"/>
          <w:sz w:val="22"/>
          <w:szCs w:val="22"/>
        </w:rPr>
        <w:t>.</w:t>
      </w:r>
      <w:r w:rsidRPr="00690BBA">
        <w:rPr>
          <w:rFonts w:ascii="IBM Plex Sans" w:hAnsi="IBM Plex Sans"/>
          <w:sz w:val="22"/>
          <w:szCs w:val="22"/>
        </w:rPr>
        <w:t xml:space="preserve">e. full references in an approved academic style). The bibliography should include a minimum of (and not much more than) twenty-five (25) significant entries in the major field and a minimum of (and not much more than) fifteen (15) entries for the minor field. The bibliography must be approved by the examining committee </w:t>
      </w:r>
      <w:r w:rsidR="00D46B91" w:rsidRPr="00690BBA">
        <w:rPr>
          <w:rFonts w:ascii="IBM Plex Sans" w:hAnsi="IBM Plex Sans"/>
          <w:sz w:val="22"/>
          <w:szCs w:val="22"/>
        </w:rPr>
        <w:t xml:space="preserve">and the Director </w:t>
      </w:r>
      <w:r w:rsidRPr="00690BBA">
        <w:rPr>
          <w:rFonts w:ascii="IBM Plex Sans" w:hAnsi="IBM Plex Sans"/>
          <w:sz w:val="22"/>
          <w:szCs w:val="22"/>
        </w:rPr>
        <w:t xml:space="preserve">prior to setting the date for the examination. </w:t>
      </w:r>
    </w:p>
    <w:p w14:paraId="1B3DDAC3" w14:textId="77777777" w:rsidR="006775CC" w:rsidRPr="00690BBA" w:rsidRDefault="006775CC" w:rsidP="00D257DF">
      <w:pPr>
        <w:ind w:left="720"/>
        <w:rPr>
          <w:rFonts w:ascii="IBM Plex Sans" w:hAnsi="IBM Plex Sans"/>
          <w:sz w:val="22"/>
          <w:szCs w:val="22"/>
        </w:rPr>
      </w:pPr>
    </w:p>
    <w:p w14:paraId="5E040CB2" w14:textId="40EE8031" w:rsidR="00D257DF" w:rsidRPr="00690BBA" w:rsidRDefault="00D257DF" w:rsidP="00D257DF">
      <w:pPr>
        <w:ind w:left="720"/>
        <w:rPr>
          <w:rFonts w:ascii="IBM Plex Sans" w:hAnsi="IBM Plex Sans"/>
          <w:sz w:val="22"/>
          <w:szCs w:val="22"/>
        </w:rPr>
      </w:pPr>
      <w:r w:rsidRPr="00690BBA">
        <w:rPr>
          <w:rFonts w:ascii="IBM Plex Sans" w:hAnsi="IBM Plex Sans"/>
          <w:sz w:val="22"/>
          <w:szCs w:val="22"/>
        </w:rPr>
        <w:t xml:space="preserve">Candidates </w:t>
      </w:r>
      <w:r w:rsidR="006775CC" w:rsidRPr="00690BBA">
        <w:rPr>
          <w:rFonts w:ascii="IBM Plex Sans" w:hAnsi="IBM Plex Sans"/>
          <w:sz w:val="22"/>
          <w:szCs w:val="22"/>
        </w:rPr>
        <w:t>must</w:t>
      </w:r>
      <w:r w:rsidR="004D63A3" w:rsidRPr="00690BBA">
        <w:rPr>
          <w:rFonts w:ascii="IBM Plex Sans" w:hAnsi="IBM Plex Sans"/>
          <w:sz w:val="22"/>
          <w:szCs w:val="22"/>
        </w:rPr>
        <w:t xml:space="preserve"> </w:t>
      </w:r>
      <w:r w:rsidRPr="00690BBA">
        <w:rPr>
          <w:rFonts w:ascii="IBM Plex Sans" w:hAnsi="IBM Plex Sans"/>
          <w:sz w:val="22"/>
          <w:szCs w:val="22"/>
        </w:rPr>
        <w:t xml:space="preserve">consult with their examining committee when preparing the bibliography. </w:t>
      </w:r>
      <w:r w:rsidR="004D63A3" w:rsidRPr="00690BBA">
        <w:rPr>
          <w:rFonts w:ascii="IBM Plex Sans" w:hAnsi="IBM Plex Sans"/>
          <w:sz w:val="22"/>
          <w:szCs w:val="22"/>
        </w:rPr>
        <w:t>This consultation should, additionally, include discussion of the committee’s expectations of the student with respect to the exam’s objectives</w:t>
      </w:r>
      <w:r w:rsidR="006775CC" w:rsidRPr="00690BBA">
        <w:rPr>
          <w:rFonts w:ascii="IBM Plex Sans" w:hAnsi="IBM Plex Sans"/>
          <w:sz w:val="22"/>
          <w:szCs w:val="22"/>
        </w:rPr>
        <w:t xml:space="preserve">, such that there is consensus as to what will constitute a </w:t>
      </w:r>
      <w:r w:rsidR="004D63A3" w:rsidRPr="00690BBA">
        <w:rPr>
          <w:rFonts w:ascii="IBM Plex Sans" w:hAnsi="IBM Plex Sans"/>
          <w:sz w:val="22"/>
          <w:szCs w:val="22"/>
        </w:rPr>
        <w:t xml:space="preserve">successful </w:t>
      </w:r>
      <w:r w:rsidR="006775CC" w:rsidRPr="00690BBA">
        <w:rPr>
          <w:rFonts w:ascii="IBM Plex Sans" w:hAnsi="IBM Plex Sans"/>
          <w:sz w:val="22"/>
          <w:szCs w:val="22"/>
        </w:rPr>
        <w:t>exam</w:t>
      </w:r>
      <w:r w:rsidR="004D63A3" w:rsidRPr="00690BBA">
        <w:rPr>
          <w:rFonts w:ascii="IBM Plex Sans" w:hAnsi="IBM Plex Sans"/>
          <w:sz w:val="22"/>
          <w:szCs w:val="22"/>
        </w:rPr>
        <w:t xml:space="preserve">. </w:t>
      </w:r>
      <w:r w:rsidR="006775CC" w:rsidRPr="00690BBA">
        <w:rPr>
          <w:rFonts w:ascii="IBM Plex Sans" w:hAnsi="IBM Plex Sans"/>
          <w:sz w:val="22"/>
          <w:szCs w:val="22"/>
        </w:rPr>
        <w:t xml:space="preserve">Generally speaking, it is expected that students will: </w:t>
      </w:r>
    </w:p>
    <w:p w14:paraId="3282604C" w14:textId="77777777" w:rsidR="006775CC" w:rsidRPr="00690BBA" w:rsidRDefault="006775CC" w:rsidP="00690BBA">
      <w:pPr>
        <w:pStyle w:val="ListParagraph"/>
        <w:numPr>
          <w:ilvl w:val="0"/>
          <w:numId w:val="12"/>
        </w:numPr>
        <w:rPr>
          <w:rFonts w:ascii="IBM Plex Sans" w:hAnsi="IBM Plex Sans"/>
          <w:sz w:val="22"/>
          <w:szCs w:val="22"/>
        </w:rPr>
      </w:pPr>
      <w:r w:rsidRPr="00690BBA">
        <w:rPr>
          <w:rFonts w:ascii="IBM Plex Sans" w:hAnsi="IBM Plex Sans"/>
          <w:sz w:val="22"/>
          <w:szCs w:val="22"/>
        </w:rPr>
        <w:t>Recognize and offer critical assessments of key theoretical and methodological issues and debates</w:t>
      </w:r>
    </w:p>
    <w:p w14:paraId="6926ABCA" w14:textId="0D831F04" w:rsidR="006775CC" w:rsidRPr="00690BBA" w:rsidRDefault="006775CC" w:rsidP="00690BBA">
      <w:pPr>
        <w:pStyle w:val="ListParagraph"/>
        <w:numPr>
          <w:ilvl w:val="0"/>
          <w:numId w:val="12"/>
        </w:numPr>
        <w:rPr>
          <w:rFonts w:ascii="IBM Plex Sans" w:hAnsi="IBM Plex Sans"/>
          <w:sz w:val="22"/>
          <w:szCs w:val="22"/>
        </w:rPr>
      </w:pPr>
      <w:r w:rsidRPr="00690BBA">
        <w:rPr>
          <w:rFonts w:ascii="IBM Plex Sans" w:hAnsi="IBM Plex Sans"/>
          <w:sz w:val="22"/>
          <w:szCs w:val="22"/>
        </w:rPr>
        <w:t xml:space="preserve">Critically analyze, compare and present theoretical arguments from the bibliography </w:t>
      </w:r>
    </w:p>
    <w:p w14:paraId="0B994173" w14:textId="598D1D9D" w:rsidR="006775CC" w:rsidRPr="00690BBA" w:rsidRDefault="006775CC" w:rsidP="00690BBA">
      <w:pPr>
        <w:pStyle w:val="ListParagraph"/>
        <w:numPr>
          <w:ilvl w:val="0"/>
          <w:numId w:val="12"/>
        </w:numPr>
        <w:rPr>
          <w:rFonts w:ascii="IBM Plex Sans" w:hAnsi="IBM Plex Sans"/>
          <w:sz w:val="22"/>
          <w:szCs w:val="22"/>
        </w:rPr>
      </w:pPr>
      <w:r w:rsidRPr="00690BBA">
        <w:rPr>
          <w:rFonts w:ascii="IBM Plex Sans" w:hAnsi="IBM Plex Sans"/>
          <w:sz w:val="22"/>
          <w:szCs w:val="22"/>
        </w:rPr>
        <w:t>Articulate links within the texts between academic knowledge and political, social, and cultural issues</w:t>
      </w:r>
    </w:p>
    <w:p w14:paraId="11707CD2" w14:textId="08937446" w:rsidR="006775CC" w:rsidRPr="00690BBA" w:rsidRDefault="006775CC" w:rsidP="00690BBA">
      <w:pPr>
        <w:pStyle w:val="ListParagraph"/>
        <w:numPr>
          <w:ilvl w:val="0"/>
          <w:numId w:val="12"/>
        </w:numPr>
        <w:rPr>
          <w:rFonts w:ascii="IBM Plex Sans" w:hAnsi="IBM Plex Sans"/>
          <w:sz w:val="22"/>
          <w:szCs w:val="22"/>
        </w:rPr>
      </w:pPr>
      <w:r w:rsidRPr="00690BBA">
        <w:rPr>
          <w:rFonts w:ascii="IBM Plex Sans" w:hAnsi="IBM Plex Sans"/>
          <w:sz w:val="22"/>
          <w:szCs w:val="22"/>
        </w:rPr>
        <w:t>Articulate how social and political theory serves to interrogate understandings of social issues, institutions and relations as it pertains to the field(s) of specialization.</w:t>
      </w:r>
    </w:p>
    <w:p w14:paraId="515A3C0A" w14:textId="77777777" w:rsidR="006775CC" w:rsidRPr="00690BBA" w:rsidRDefault="006775CC" w:rsidP="00D257DF">
      <w:pPr>
        <w:ind w:left="720"/>
        <w:rPr>
          <w:rFonts w:ascii="IBM Plex Sans" w:hAnsi="IBM Plex Sans"/>
          <w:sz w:val="22"/>
          <w:szCs w:val="22"/>
        </w:rPr>
      </w:pPr>
    </w:p>
    <w:p w14:paraId="5369B582" w14:textId="3A960FA1" w:rsidR="005B5E6B" w:rsidRPr="00690BBA" w:rsidRDefault="005B5E6B" w:rsidP="00D257DF">
      <w:pPr>
        <w:ind w:left="720"/>
        <w:rPr>
          <w:rFonts w:ascii="IBM Plex Sans" w:hAnsi="IBM Plex Sans"/>
          <w:sz w:val="22"/>
          <w:szCs w:val="22"/>
        </w:rPr>
      </w:pPr>
    </w:p>
    <w:p w14:paraId="29E26131" w14:textId="3E928FF4" w:rsidR="005B5E6B" w:rsidRPr="00690BBA" w:rsidRDefault="005B5E6B" w:rsidP="00D257DF">
      <w:pPr>
        <w:ind w:left="720"/>
        <w:rPr>
          <w:rFonts w:ascii="IBM Plex Sans" w:hAnsi="IBM Plex Sans"/>
          <w:sz w:val="22"/>
          <w:szCs w:val="22"/>
        </w:rPr>
      </w:pPr>
      <w:r w:rsidRPr="00690BBA">
        <w:rPr>
          <w:rFonts w:ascii="IBM Plex Sans" w:hAnsi="IBM Plex Sans"/>
          <w:sz w:val="22"/>
          <w:szCs w:val="22"/>
        </w:rPr>
        <w:t xml:space="preserve">The examination itself will </w:t>
      </w:r>
      <w:r w:rsidR="00B57DDF" w:rsidRPr="00690BBA">
        <w:rPr>
          <w:rFonts w:ascii="IBM Plex Sans" w:hAnsi="IBM Plex Sans"/>
          <w:sz w:val="22"/>
          <w:szCs w:val="22"/>
        </w:rPr>
        <w:t>begin with a short (i.e. 5-10 minute) presentation prepared in advance by the student that accounts for how they have represented the field</w:t>
      </w:r>
      <w:r w:rsidR="00D46B91" w:rsidRPr="00690BBA">
        <w:rPr>
          <w:rFonts w:ascii="IBM Plex Sans" w:hAnsi="IBM Plex Sans"/>
          <w:sz w:val="22"/>
          <w:szCs w:val="22"/>
        </w:rPr>
        <w:t>s</w:t>
      </w:r>
      <w:r w:rsidR="00B57DDF" w:rsidRPr="00690BBA">
        <w:rPr>
          <w:rFonts w:ascii="IBM Plex Sans" w:hAnsi="IBM Plex Sans"/>
          <w:sz w:val="22"/>
          <w:szCs w:val="22"/>
        </w:rPr>
        <w:t xml:space="preserve"> in their bibliography. This will be followed by examiners asking </w:t>
      </w:r>
      <w:r w:rsidRPr="00690BBA">
        <w:rPr>
          <w:rFonts w:ascii="IBM Plex Sans" w:hAnsi="IBM Plex Sans"/>
          <w:sz w:val="22"/>
          <w:szCs w:val="22"/>
        </w:rPr>
        <w:t>oral questions that focus attention on the material listed in the bibliography. E</w:t>
      </w:r>
      <w:r w:rsidR="004F653A" w:rsidRPr="00690BBA">
        <w:rPr>
          <w:rFonts w:ascii="IBM Plex Sans" w:hAnsi="IBM Plex Sans"/>
          <w:sz w:val="22"/>
          <w:szCs w:val="22"/>
        </w:rPr>
        <w:t>ach e</w:t>
      </w:r>
      <w:r w:rsidRPr="00690BBA">
        <w:rPr>
          <w:rFonts w:ascii="IBM Plex Sans" w:hAnsi="IBM Plex Sans"/>
          <w:sz w:val="22"/>
          <w:szCs w:val="22"/>
        </w:rPr>
        <w:t xml:space="preserve">xaminer </w:t>
      </w:r>
      <w:r w:rsidR="004F653A" w:rsidRPr="00690BBA">
        <w:rPr>
          <w:rFonts w:ascii="IBM Plex Sans" w:hAnsi="IBM Plex Sans"/>
          <w:sz w:val="22"/>
          <w:szCs w:val="22"/>
        </w:rPr>
        <w:t xml:space="preserve">will ask </w:t>
      </w:r>
      <w:r w:rsidR="00B57DDF" w:rsidRPr="00690BBA">
        <w:rPr>
          <w:rFonts w:ascii="IBM Plex Sans" w:hAnsi="IBM Plex Sans"/>
          <w:sz w:val="22"/>
          <w:szCs w:val="22"/>
        </w:rPr>
        <w:t xml:space="preserve">one to </w:t>
      </w:r>
      <w:r w:rsidR="004F653A" w:rsidRPr="00690BBA">
        <w:rPr>
          <w:rFonts w:ascii="IBM Plex Sans" w:hAnsi="IBM Plex Sans"/>
          <w:sz w:val="22"/>
          <w:szCs w:val="22"/>
        </w:rPr>
        <w:t xml:space="preserve">two rounds of questions, with a </w:t>
      </w:r>
      <w:r w:rsidR="00A7013F">
        <w:rPr>
          <w:rFonts w:ascii="IBM Plex Sans" w:hAnsi="IBM Plex Sans"/>
          <w:sz w:val="22"/>
          <w:szCs w:val="22"/>
        </w:rPr>
        <w:t>“</w:t>
      </w:r>
      <w:r w:rsidR="004F653A" w:rsidRPr="00690BBA">
        <w:rPr>
          <w:rFonts w:ascii="IBM Plex Sans" w:hAnsi="IBM Plex Sans"/>
          <w:sz w:val="22"/>
          <w:szCs w:val="22"/>
        </w:rPr>
        <w:t>round</w:t>
      </w:r>
      <w:r w:rsidR="00A7013F">
        <w:rPr>
          <w:rFonts w:ascii="IBM Plex Sans" w:hAnsi="IBM Plex Sans"/>
          <w:sz w:val="22"/>
          <w:szCs w:val="22"/>
        </w:rPr>
        <w:t>”</w:t>
      </w:r>
      <w:r w:rsidR="004F653A" w:rsidRPr="00690BBA">
        <w:rPr>
          <w:rFonts w:ascii="IBM Plex Sans" w:hAnsi="IBM Plex Sans"/>
          <w:sz w:val="22"/>
          <w:szCs w:val="22"/>
        </w:rPr>
        <w:t xml:space="preserve"> typically consisting of one or more lines of inquiry (including follow-up questions and questions seeking context or clarification). </w:t>
      </w:r>
      <w:r w:rsidR="00B57DDF" w:rsidRPr="00690BBA">
        <w:rPr>
          <w:rFonts w:ascii="IBM Plex Sans" w:hAnsi="IBM Plex Sans"/>
          <w:sz w:val="22"/>
          <w:szCs w:val="22"/>
        </w:rPr>
        <w:t xml:space="preserve">This process, including the student presentation, will then be repeated for the other field. </w:t>
      </w:r>
      <w:r w:rsidR="004F653A" w:rsidRPr="00690BBA">
        <w:rPr>
          <w:rFonts w:ascii="IBM Plex Sans" w:hAnsi="IBM Plex Sans"/>
          <w:sz w:val="22"/>
          <w:szCs w:val="22"/>
        </w:rPr>
        <w:t xml:space="preserve">In the normal course of events, the </w:t>
      </w:r>
      <w:r w:rsidR="00B57DDF" w:rsidRPr="00690BBA">
        <w:rPr>
          <w:rFonts w:ascii="IBM Plex Sans" w:hAnsi="IBM Plex Sans"/>
          <w:sz w:val="22"/>
          <w:szCs w:val="22"/>
        </w:rPr>
        <w:t xml:space="preserve">entire </w:t>
      </w:r>
      <w:r w:rsidR="004F653A" w:rsidRPr="00690BBA">
        <w:rPr>
          <w:rFonts w:ascii="IBM Plex Sans" w:hAnsi="IBM Plex Sans"/>
          <w:sz w:val="22"/>
          <w:szCs w:val="22"/>
        </w:rPr>
        <w:t>exam will last between two and three hours.</w:t>
      </w:r>
    </w:p>
    <w:p w14:paraId="3F147C65" w14:textId="734C5FCB" w:rsidR="00D257DF" w:rsidRPr="00690BBA" w:rsidRDefault="00D257DF" w:rsidP="00D257DF">
      <w:pPr>
        <w:ind w:left="720"/>
        <w:rPr>
          <w:rFonts w:ascii="IBM Plex Sans" w:hAnsi="IBM Plex Sans"/>
          <w:sz w:val="22"/>
          <w:szCs w:val="22"/>
        </w:rPr>
      </w:pPr>
    </w:p>
    <w:p w14:paraId="5403EF79" w14:textId="77777777" w:rsidR="00D257DF" w:rsidRPr="00690BBA" w:rsidRDefault="00D257DF" w:rsidP="00D257DF">
      <w:pPr>
        <w:ind w:left="720"/>
        <w:rPr>
          <w:rFonts w:ascii="IBM Plex Sans" w:hAnsi="IBM Plex Sans"/>
          <w:sz w:val="22"/>
          <w:szCs w:val="22"/>
        </w:rPr>
      </w:pPr>
    </w:p>
    <w:p w14:paraId="769D9278" w14:textId="7BC91095" w:rsidR="00B14ABD" w:rsidRPr="00690BBA" w:rsidRDefault="00B14ABD" w:rsidP="00A63171">
      <w:pPr>
        <w:numPr>
          <w:ilvl w:val="0"/>
          <w:numId w:val="1"/>
        </w:numPr>
        <w:rPr>
          <w:rFonts w:ascii="IBM Plex Sans" w:hAnsi="IBM Plex Sans"/>
          <w:b/>
          <w:bCs/>
          <w:sz w:val="22"/>
          <w:szCs w:val="22"/>
        </w:rPr>
      </w:pPr>
      <w:r w:rsidRPr="00690BBA">
        <w:rPr>
          <w:rFonts w:ascii="IBM Plex Sans" w:hAnsi="IBM Plex Sans"/>
          <w:b/>
          <w:bCs/>
          <w:sz w:val="22"/>
          <w:szCs w:val="22"/>
        </w:rPr>
        <w:t xml:space="preserve">Accessibility and Accommodations </w:t>
      </w:r>
    </w:p>
    <w:p w14:paraId="4590EC1D" w14:textId="77777777" w:rsidR="00D257DF" w:rsidRPr="00690BBA" w:rsidRDefault="00D257DF" w:rsidP="00D257DF">
      <w:pPr>
        <w:ind w:left="720"/>
        <w:rPr>
          <w:rFonts w:ascii="IBM Plex Sans" w:hAnsi="IBM Plex Sans"/>
          <w:sz w:val="22"/>
          <w:szCs w:val="22"/>
        </w:rPr>
      </w:pPr>
      <w:r w:rsidRPr="00690BBA">
        <w:rPr>
          <w:rFonts w:ascii="IBM Plex Sans" w:hAnsi="IBM Plex Sans"/>
          <w:sz w:val="22"/>
          <w:szCs w:val="22"/>
        </w:rPr>
        <w:t xml:space="preserve">Students requiring accommodations are encouraged to contact the appropriate accessibility office at the university well in advance of the examination. The Examination Committee is expected to support students who require accommodation, whilst ensuring the integrity of the examination process. </w:t>
      </w:r>
    </w:p>
    <w:p w14:paraId="6B8E25E7" w14:textId="523BEAFA" w:rsidR="00D257DF" w:rsidRPr="00690BBA" w:rsidRDefault="00D257DF" w:rsidP="00D257DF">
      <w:pPr>
        <w:ind w:left="720"/>
        <w:rPr>
          <w:rFonts w:ascii="IBM Plex Sans" w:hAnsi="IBM Plex Sans"/>
          <w:sz w:val="22"/>
          <w:szCs w:val="22"/>
        </w:rPr>
      </w:pPr>
    </w:p>
    <w:p w14:paraId="5FB26218" w14:textId="77777777" w:rsidR="00A11F34" w:rsidRPr="00690BBA" w:rsidRDefault="00A11F34" w:rsidP="00D257DF">
      <w:pPr>
        <w:ind w:left="720"/>
        <w:rPr>
          <w:rFonts w:ascii="IBM Plex Sans" w:hAnsi="IBM Plex Sans"/>
          <w:sz w:val="22"/>
          <w:szCs w:val="22"/>
        </w:rPr>
      </w:pPr>
    </w:p>
    <w:p w14:paraId="16090FD7" w14:textId="24C97399" w:rsidR="00B14ABD" w:rsidRPr="00690BBA" w:rsidRDefault="00B14ABD" w:rsidP="00B14ABD">
      <w:pPr>
        <w:numPr>
          <w:ilvl w:val="0"/>
          <w:numId w:val="1"/>
        </w:numPr>
        <w:rPr>
          <w:rFonts w:ascii="IBM Plex Sans" w:hAnsi="IBM Plex Sans"/>
          <w:b/>
          <w:bCs/>
          <w:sz w:val="22"/>
          <w:szCs w:val="22"/>
        </w:rPr>
      </w:pPr>
      <w:r w:rsidRPr="00690BBA">
        <w:rPr>
          <w:rFonts w:ascii="IBM Plex Sans" w:hAnsi="IBM Plex Sans"/>
          <w:b/>
          <w:bCs/>
          <w:sz w:val="22"/>
          <w:szCs w:val="22"/>
        </w:rPr>
        <w:t xml:space="preserve">Assessment Criteria and Feedback </w:t>
      </w:r>
    </w:p>
    <w:p w14:paraId="3C4824D3" w14:textId="21F9694F" w:rsidR="00CB2B3F" w:rsidRPr="00690BBA" w:rsidRDefault="00D257DF" w:rsidP="00D257DF">
      <w:pPr>
        <w:ind w:left="720"/>
        <w:rPr>
          <w:rFonts w:ascii="IBM Plex Sans" w:hAnsi="IBM Plex Sans"/>
          <w:sz w:val="22"/>
          <w:szCs w:val="22"/>
        </w:rPr>
      </w:pPr>
      <w:r w:rsidRPr="00690BBA">
        <w:rPr>
          <w:rFonts w:ascii="IBM Plex Sans" w:hAnsi="IBM Plex Sans"/>
          <w:sz w:val="22"/>
          <w:szCs w:val="22"/>
        </w:rPr>
        <w:t>Students are assessed according to their fulfillment of the two-fold purpose of the exam</w:t>
      </w:r>
      <w:r w:rsidR="006775CC" w:rsidRPr="00690BBA">
        <w:rPr>
          <w:rFonts w:ascii="IBM Plex Sans" w:hAnsi="IBM Plex Sans"/>
          <w:sz w:val="22"/>
          <w:szCs w:val="22"/>
        </w:rPr>
        <w:t>, according to the expectations discussed in advance with their committee</w:t>
      </w:r>
      <w:r w:rsidRPr="00690BBA">
        <w:rPr>
          <w:rFonts w:ascii="IBM Plex Sans" w:hAnsi="IBM Plex Sans"/>
          <w:sz w:val="22"/>
          <w:szCs w:val="22"/>
        </w:rPr>
        <w:t>.</w:t>
      </w:r>
      <w:r w:rsidR="009D0974" w:rsidRPr="00690BBA">
        <w:rPr>
          <w:rFonts w:ascii="IBM Plex Sans" w:hAnsi="IBM Plex Sans"/>
          <w:sz w:val="22"/>
          <w:szCs w:val="22"/>
        </w:rPr>
        <w:t xml:space="preserve"> </w:t>
      </w:r>
      <w:r w:rsidRPr="00690BBA">
        <w:rPr>
          <w:rFonts w:ascii="IBM Plex Sans" w:hAnsi="IBM Plex Sans"/>
          <w:sz w:val="22"/>
          <w:szCs w:val="22"/>
        </w:rPr>
        <w:t xml:space="preserve"> </w:t>
      </w:r>
      <w:r w:rsidR="00D46B91" w:rsidRPr="00690BBA">
        <w:rPr>
          <w:rFonts w:ascii="IBM Plex Sans" w:hAnsi="IBM Plex Sans"/>
          <w:sz w:val="22"/>
          <w:szCs w:val="22"/>
        </w:rPr>
        <w:t>S</w:t>
      </w:r>
      <w:r w:rsidR="00CB2B3F" w:rsidRPr="00690BBA">
        <w:rPr>
          <w:rFonts w:ascii="IBM Plex Sans" w:hAnsi="IBM Plex Sans"/>
          <w:sz w:val="22"/>
          <w:szCs w:val="22"/>
        </w:rPr>
        <w:t xml:space="preserve">tudents must demonstrate </w:t>
      </w:r>
      <w:r w:rsidR="00D46B91" w:rsidRPr="00690BBA">
        <w:rPr>
          <w:rFonts w:ascii="IBM Plex Sans" w:hAnsi="IBM Plex Sans"/>
          <w:sz w:val="22"/>
          <w:szCs w:val="22"/>
        </w:rPr>
        <w:t>competence (as determined by the examination committee) with regards to the following Program Learning Outcomes (PLOs)</w:t>
      </w:r>
      <w:r w:rsidR="00CB2B3F" w:rsidRPr="00690BBA">
        <w:rPr>
          <w:rFonts w:ascii="IBM Plex Sans" w:hAnsi="IBM Plex Sans"/>
          <w:sz w:val="22"/>
          <w:szCs w:val="22"/>
        </w:rPr>
        <w:t xml:space="preserve">: </w:t>
      </w:r>
    </w:p>
    <w:p w14:paraId="0B2C991B" w14:textId="77777777" w:rsidR="00CB2B3F" w:rsidRPr="00690BBA" w:rsidRDefault="00CB2B3F" w:rsidP="00D257DF">
      <w:pPr>
        <w:ind w:left="720"/>
        <w:rPr>
          <w:rFonts w:ascii="IBM Plex Sans" w:hAnsi="IBM Plex Sans"/>
          <w:sz w:val="22"/>
          <w:szCs w:val="22"/>
        </w:rPr>
      </w:pPr>
    </w:p>
    <w:p w14:paraId="0D000F00" w14:textId="77777777" w:rsidR="00CB2B3F" w:rsidRPr="00690BBA" w:rsidRDefault="00CB2B3F" w:rsidP="00690BBA">
      <w:pPr>
        <w:pStyle w:val="ListParagraph"/>
        <w:numPr>
          <w:ilvl w:val="0"/>
          <w:numId w:val="12"/>
        </w:numPr>
        <w:rPr>
          <w:rFonts w:ascii="IBM Plex Sans" w:hAnsi="IBM Plex Sans"/>
          <w:sz w:val="22"/>
          <w:szCs w:val="22"/>
        </w:rPr>
      </w:pPr>
      <w:r w:rsidRPr="00690BBA">
        <w:rPr>
          <w:rFonts w:ascii="IBM Plex Sans" w:hAnsi="IBM Plex Sans"/>
          <w:sz w:val="22"/>
          <w:szCs w:val="22"/>
        </w:rPr>
        <w:t>Recognize and offer critical assessments of key theoretical and methodological issues and debates</w:t>
      </w:r>
    </w:p>
    <w:p w14:paraId="564C1EFB" w14:textId="77777777" w:rsidR="00CB2B3F" w:rsidRPr="00690BBA" w:rsidRDefault="00CB2B3F" w:rsidP="00690BBA">
      <w:pPr>
        <w:pStyle w:val="ListParagraph"/>
        <w:numPr>
          <w:ilvl w:val="0"/>
          <w:numId w:val="12"/>
        </w:numPr>
        <w:rPr>
          <w:rFonts w:ascii="IBM Plex Sans" w:hAnsi="IBM Plex Sans"/>
          <w:sz w:val="22"/>
          <w:szCs w:val="22"/>
        </w:rPr>
      </w:pPr>
      <w:r w:rsidRPr="00690BBA">
        <w:rPr>
          <w:rFonts w:ascii="IBM Plex Sans" w:hAnsi="IBM Plex Sans"/>
          <w:sz w:val="22"/>
          <w:szCs w:val="22"/>
        </w:rPr>
        <w:t xml:space="preserve">Critically analyze, compare and present theoretical arguments from the bibliography </w:t>
      </w:r>
    </w:p>
    <w:p w14:paraId="414D74ED" w14:textId="77777777" w:rsidR="00CB2B3F" w:rsidRPr="00690BBA" w:rsidRDefault="00CB2B3F" w:rsidP="00690BBA">
      <w:pPr>
        <w:pStyle w:val="ListParagraph"/>
        <w:numPr>
          <w:ilvl w:val="0"/>
          <w:numId w:val="12"/>
        </w:numPr>
        <w:rPr>
          <w:rFonts w:ascii="IBM Plex Sans" w:hAnsi="IBM Plex Sans"/>
          <w:sz w:val="22"/>
          <w:szCs w:val="22"/>
        </w:rPr>
      </w:pPr>
      <w:r w:rsidRPr="00690BBA">
        <w:rPr>
          <w:rFonts w:ascii="IBM Plex Sans" w:hAnsi="IBM Plex Sans"/>
          <w:sz w:val="22"/>
          <w:szCs w:val="22"/>
        </w:rPr>
        <w:t>Articulate links within the texts between academic knowledge and political, social, and cultural issues</w:t>
      </w:r>
    </w:p>
    <w:p w14:paraId="669D35FF" w14:textId="40224861" w:rsidR="00D46B91" w:rsidRPr="00690BBA" w:rsidRDefault="00CB2B3F" w:rsidP="00690BBA">
      <w:pPr>
        <w:pStyle w:val="ListParagraph"/>
        <w:numPr>
          <w:ilvl w:val="0"/>
          <w:numId w:val="12"/>
        </w:numPr>
        <w:rPr>
          <w:rFonts w:ascii="IBM Plex Sans" w:hAnsi="IBM Plex Sans"/>
          <w:sz w:val="22"/>
          <w:szCs w:val="22"/>
        </w:rPr>
      </w:pPr>
      <w:r w:rsidRPr="00690BBA">
        <w:rPr>
          <w:rFonts w:ascii="IBM Plex Sans" w:hAnsi="IBM Plex Sans"/>
          <w:sz w:val="22"/>
          <w:szCs w:val="22"/>
        </w:rPr>
        <w:t>Articulate how social and political theory serves to interrogate understandings of social issues, institutions and relations as it pertains to the field(s) of specialization</w:t>
      </w:r>
    </w:p>
    <w:p w14:paraId="4C6460FB" w14:textId="663FF255" w:rsidR="00D46B91" w:rsidRPr="00690BBA" w:rsidRDefault="00D46B91" w:rsidP="00690BBA">
      <w:pPr>
        <w:pStyle w:val="ListParagraph"/>
        <w:numPr>
          <w:ilvl w:val="0"/>
          <w:numId w:val="12"/>
        </w:numPr>
        <w:rPr>
          <w:rFonts w:ascii="IBM Plex Sans" w:hAnsi="IBM Plex Sans"/>
          <w:sz w:val="22"/>
          <w:szCs w:val="22"/>
        </w:rPr>
      </w:pPr>
      <w:r w:rsidRPr="00690BBA">
        <w:rPr>
          <w:rFonts w:ascii="IBM Plex Sans" w:hAnsi="IBM Plex Sans"/>
          <w:sz w:val="22"/>
          <w:szCs w:val="22"/>
        </w:rPr>
        <w:t>Demonstrate familiarity with a variety of social and political theories and methods, as well as their historical shifts and influences.</w:t>
      </w:r>
    </w:p>
    <w:p w14:paraId="046CD0B0" w14:textId="77777777" w:rsidR="00CB2B3F" w:rsidRPr="00690BBA" w:rsidRDefault="00CB2B3F" w:rsidP="00690BBA">
      <w:pPr>
        <w:rPr>
          <w:rFonts w:ascii="IBM Plex Sans" w:hAnsi="IBM Plex Sans"/>
          <w:sz w:val="22"/>
          <w:szCs w:val="22"/>
        </w:rPr>
      </w:pPr>
    </w:p>
    <w:p w14:paraId="15AE0868" w14:textId="0BB91D2E" w:rsidR="00D257DF" w:rsidRPr="00690BBA" w:rsidRDefault="00D46B91" w:rsidP="00D257DF">
      <w:pPr>
        <w:ind w:left="720"/>
        <w:rPr>
          <w:rFonts w:ascii="IBM Plex Sans" w:hAnsi="IBM Plex Sans"/>
          <w:sz w:val="22"/>
          <w:szCs w:val="22"/>
        </w:rPr>
      </w:pPr>
      <w:r w:rsidRPr="00690BBA">
        <w:rPr>
          <w:rFonts w:ascii="IBM Plex Sans" w:hAnsi="IBM Plex Sans"/>
          <w:sz w:val="22"/>
          <w:szCs w:val="22"/>
        </w:rPr>
        <w:t xml:space="preserve">Although the Committee is encouraged to provide </w:t>
      </w:r>
      <w:r w:rsidR="00A7013F">
        <w:rPr>
          <w:rFonts w:ascii="IBM Plex Sans" w:hAnsi="IBM Plex Sans"/>
          <w:sz w:val="22"/>
          <w:szCs w:val="22"/>
        </w:rPr>
        <w:t>offer</w:t>
      </w:r>
      <w:r w:rsidRPr="00690BBA">
        <w:rPr>
          <w:rFonts w:ascii="IBM Plex Sans" w:hAnsi="IBM Plex Sans"/>
          <w:sz w:val="22"/>
          <w:szCs w:val="22"/>
        </w:rPr>
        <w:t xml:space="preserve"> notes on the Examination Report, most of the feedback provided is verbal. The feedback will mainly pertain to the above criteria and will occasionally touch on the student’s general preparation for the dissertation proposal stage.</w:t>
      </w:r>
      <w:r w:rsidR="002E245E" w:rsidRPr="00690BBA">
        <w:rPr>
          <w:rFonts w:ascii="IBM Plex Sans" w:hAnsi="IBM Plex Sans"/>
          <w:sz w:val="22"/>
          <w:szCs w:val="22"/>
        </w:rPr>
        <w:t xml:space="preserve"> Committee members provide primarily verbal feedback in order to extend the dialogic structure of the examination itself.  </w:t>
      </w:r>
    </w:p>
    <w:p w14:paraId="173CB7DB" w14:textId="77777777" w:rsidR="009E08DF" w:rsidRPr="00690BBA" w:rsidRDefault="009E08DF" w:rsidP="009E08DF">
      <w:pPr>
        <w:rPr>
          <w:rFonts w:ascii="IBM Plex Sans" w:hAnsi="IBM Plex Sans"/>
          <w:sz w:val="22"/>
          <w:szCs w:val="22"/>
        </w:rPr>
      </w:pPr>
    </w:p>
    <w:p w14:paraId="1A1A0C9E" w14:textId="596A146D" w:rsidR="002612BE" w:rsidRPr="00690BBA" w:rsidRDefault="002612BE" w:rsidP="00690BBA">
      <w:pPr>
        <w:rPr>
          <w:rFonts w:ascii="IBM Plex Sans" w:hAnsi="IBM Plex Sans"/>
          <w:sz w:val="22"/>
          <w:szCs w:val="22"/>
        </w:rPr>
      </w:pPr>
    </w:p>
    <w:p w14:paraId="559E6E0A" w14:textId="77777777" w:rsidR="00A11F34" w:rsidRPr="00690BBA" w:rsidRDefault="00A11F34" w:rsidP="00D257DF">
      <w:pPr>
        <w:ind w:left="720"/>
        <w:rPr>
          <w:rFonts w:ascii="IBM Plex Sans" w:hAnsi="IBM Plex Sans"/>
          <w:sz w:val="22"/>
          <w:szCs w:val="22"/>
        </w:rPr>
      </w:pPr>
    </w:p>
    <w:p w14:paraId="74B16386" w14:textId="40931B2B" w:rsidR="00B14ABD" w:rsidRPr="00690BBA" w:rsidRDefault="00B14ABD" w:rsidP="00B14ABD">
      <w:pPr>
        <w:numPr>
          <w:ilvl w:val="0"/>
          <w:numId w:val="1"/>
        </w:numPr>
        <w:rPr>
          <w:rFonts w:ascii="IBM Plex Sans" w:hAnsi="IBM Plex Sans"/>
          <w:b/>
          <w:bCs/>
          <w:sz w:val="22"/>
          <w:szCs w:val="22"/>
        </w:rPr>
      </w:pPr>
      <w:r w:rsidRPr="00690BBA">
        <w:rPr>
          <w:rFonts w:ascii="IBM Plex Sans" w:hAnsi="IBM Plex Sans"/>
          <w:b/>
          <w:bCs/>
          <w:sz w:val="22"/>
          <w:szCs w:val="22"/>
        </w:rPr>
        <w:lastRenderedPageBreak/>
        <w:t xml:space="preserve">Outcomes of the Examination(s) </w:t>
      </w:r>
    </w:p>
    <w:p w14:paraId="01FAD5DA" w14:textId="77777777" w:rsidR="00A653D5" w:rsidRPr="00690BBA" w:rsidRDefault="00A653D5" w:rsidP="00A653D5">
      <w:pPr>
        <w:ind w:left="720"/>
        <w:rPr>
          <w:rFonts w:ascii="IBM Plex Sans" w:hAnsi="IBM Plex Sans"/>
          <w:sz w:val="22"/>
          <w:szCs w:val="22"/>
        </w:rPr>
      </w:pPr>
      <w:r w:rsidRPr="00690BBA">
        <w:rPr>
          <w:rFonts w:ascii="IBM Plex Sans" w:hAnsi="IBM Plex Sans"/>
          <w:sz w:val="22"/>
          <w:szCs w:val="22"/>
        </w:rPr>
        <w:t>The outcome of the Examination will be described using the following categories:</w:t>
      </w:r>
    </w:p>
    <w:p w14:paraId="20974AE7" w14:textId="77777777" w:rsidR="00D46B91" w:rsidRPr="00690BBA" w:rsidRDefault="00D46B91" w:rsidP="00D46B91">
      <w:pPr>
        <w:pStyle w:val="ListParagraph"/>
        <w:rPr>
          <w:rFonts w:ascii="IBM Plex Sans" w:hAnsi="IBM Plex Sans"/>
          <w:sz w:val="22"/>
          <w:szCs w:val="22"/>
        </w:rPr>
      </w:pPr>
    </w:p>
    <w:p w14:paraId="2E1BC3F3" w14:textId="72A91F95" w:rsidR="00D46B91" w:rsidRPr="00690BBA" w:rsidRDefault="00A653D5" w:rsidP="00D46B91">
      <w:pPr>
        <w:pStyle w:val="ListParagraph"/>
        <w:rPr>
          <w:rFonts w:ascii="IBM Plex Sans" w:hAnsi="IBM Plex Sans"/>
          <w:sz w:val="22"/>
          <w:szCs w:val="22"/>
        </w:rPr>
      </w:pPr>
      <w:r w:rsidRPr="00690BBA">
        <w:rPr>
          <w:rFonts w:ascii="IBM Plex Sans" w:hAnsi="IBM Plex Sans"/>
          <w:b/>
          <w:bCs/>
          <w:sz w:val="22"/>
          <w:szCs w:val="22"/>
        </w:rPr>
        <w:t>Pass</w:t>
      </w:r>
      <w:r w:rsidR="00D46B91" w:rsidRPr="00690BBA">
        <w:rPr>
          <w:rFonts w:ascii="IBM Plex Sans" w:hAnsi="IBM Plex Sans"/>
          <w:sz w:val="22"/>
          <w:szCs w:val="22"/>
        </w:rPr>
        <w:t>: The examination committee will use this category if members deem that the student has demonstrated competence with regards to the following PLOs: to recognize and offer critical assessments of key theoretical and methodological issues and debates; to critically analyze, compare and present theoretical arguments from the bibliography; to articulate links within the texts between academic knowledge and political, social, and cultural issues; to articulate how social and political theory serves to interrogate understandings of social issues, institutions and relations as it pertains to the field(s) of specialization; and to demonstrate familiarity with a variety of social and political theories and methods, as well as their historical shifts and influences.</w:t>
      </w:r>
    </w:p>
    <w:p w14:paraId="758ECC4E" w14:textId="77777777" w:rsidR="00D46B91" w:rsidRPr="00690BBA" w:rsidRDefault="00D46B91" w:rsidP="00D46B91">
      <w:pPr>
        <w:pStyle w:val="ListParagraph"/>
        <w:rPr>
          <w:rFonts w:ascii="IBM Plex Sans" w:hAnsi="IBM Plex Sans"/>
          <w:b/>
          <w:bCs/>
          <w:sz w:val="22"/>
          <w:szCs w:val="22"/>
        </w:rPr>
      </w:pPr>
    </w:p>
    <w:p w14:paraId="293D9C57" w14:textId="30333C85" w:rsidR="00D46B91" w:rsidRPr="00690BBA" w:rsidRDefault="00D46B91" w:rsidP="00A7013F">
      <w:pPr>
        <w:pStyle w:val="ListParagraph"/>
        <w:rPr>
          <w:rFonts w:ascii="IBM Plex Sans" w:hAnsi="IBM Plex Sans"/>
          <w:sz w:val="22"/>
          <w:szCs w:val="22"/>
        </w:rPr>
      </w:pPr>
      <w:r w:rsidRPr="00690BBA">
        <w:rPr>
          <w:rFonts w:ascii="IBM Plex Sans" w:hAnsi="IBM Plex Sans"/>
          <w:b/>
          <w:bCs/>
          <w:sz w:val="22"/>
          <w:szCs w:val="22"/>
        </w:rPr>
        <w:t>Fail</w:t>
      </w:r>
      <w:r w:rsidRPr="00690BBA">
        <w:rPr>
          <w:rFonts w:ascii="IBM Plex Sans" w:hAnsi="IBM Plex Sans"/>
          <w:sz w:val="22"/>
          <w:szCs w:val="22"/>
        </w:rPr>
        <w:t>: The examination committee will use this category if members deem that the student has not demonstrated competence with regards to the following PLOs: to recognize and offer critical assessments of key theoretical and methodological issues and debates; to critically analyze, compare and present theoretical arguments from the bibliography; to articulate links within the texts between academic knowledge and political, social, and cultural issues; to articulate how social and political theory serves to interrogate understandings of social issues, institutions and relations as it pertains to the field(s) of specialization; and to demonstrate familiarity with a variety of social and political theories and methods, as well as their historical shifts and influences.</w:t>
      </w:r>
      <w:r w:rsidRPr="00690BBA">
        <w:rPr>
          <w:rFonts w:ascii="IBM Plex Sans" w:hAnsi="IBM Plex Sans"/>
          <w:sz w:val="22"/>
          <w:szCs w:val="22"/>
        </w:rPr>
        <w:br/>
      </w:r>
      <w:r w:rsidRPr="00690BBA">
        <w:rPr>
          <w:rFonts w:ascii="IBM Plex Sans" w:hAnsi="IBM Plex Sans"/>
          <w:sz w:val="22"/>
          <w:szCs w:val="22"/>
        </w:rPr>
        <w:br/>
        <w:t xml:space="preserve">This category may be used if </w:t>
      </w:r>
      <w:r w:rsidR="005B5E6B" w:rsidRPr="00690BBA">
        <w:rPr>
          <w:rFonts w:ascii="IBM Plex Sans" w:hAnsi="IBM Plex Sans"/>
          <w:sz w:val="22"/>
          <w:szCs w:val="22"/>
        </w:rPr>
        <w:t xml:space="preserve">the student has not demonstrated sufficient grasp of the examination materials, but can reasonably be expected to do so upon completion of a </w:t>
      </w:r>
      <w:r w:rsidR="00A653D5" w:rsidRPr="00690BBA">
        <w:rPr>
          <w:rFonts w:ascii="IBM Plex Sans" w:hAnsi="IBM Plex Sans"/>
          <w:sz w:val="22"/>
          <w:szCs w:val="22"/>
        </w:rPr>
        <w:t xml:space="preserve">set of corrective measures prescribed by the </w:t>
      </w:r>
      <w:r w:rsidRPr="00690BBA">
        <w:rPr>
          <w:rFonts w:ascii="IBM Plex Sans" w:hAnsi="IBM Plex Sans"/>
          <w:sz w:val="22"/>
          <w:szCs w:val="22"/>
        </w:rPr>
        <w:t>examination c</w:t>
      </w:r>
      <w:r w:rsidR="00A653D5" w:rsidRPr="00690BBA">
        <w:rPr>
          <w:rFonts w:ascii="IBM Plex Sans" w:hAnsi="IBM Plex Sans"/>
          <w:sz w:val="22"/>
          <w:szCs w:val="22"/>
        </w:rPr>
        <w:t>ommittee</w:t>
      </w:r>
      <w:r w:rsidRPr="00690BBA">
        <w:rPr>
          <w:rFonts w:ascii="IBM Plex Sans" w:hAnsi="IBM Plex Sans"/>
          <w:sz w:val="22"/>
          <w:szCs w:val="22"/>
        </w:rPr>
        <w:t xml:space="preserve">; </w:t>
      </w:r>
      <w:r w:rsidR="00F26D9F" w:rsidRPr="00690BBA">
        <w:rPr>
          <w:rFonts w:ascii="IBM Plex Sans" w:hAnsi="IBM Plex Sans"/>
          <w:sz w:val="22"/>
          <w:szCs w:val="22"/>
        </w:rPr>
        <w:t>such corrective measures will be determined on a case by case basis and may include a written assignment or further oral discussion after re-reading material</w:t>
      </w:r>
      <w:r w:rsidRPr="00690BBA">
        <w:rPr>
          <w:rFonts w:ascii="IBM Plex Sans" w:hAnsi="IBM Plex Sans"/>
          <w:sz w:val="22"/>
          <w:szCs w:val="22"/>
        </w:rPr>
        <w:t>s</w:t>
      </w:r>
      <w:r w:rsidR="00A653D5" w:rsidRPr="00690BBA">
        <w:rPr>
          <w:rFonts w:ascii="IBM Plex Sans" w:hAnsi="IBM Plex Sans"/>
          <w:sz w:val="22"/>
          <w:szCs w:val="22"/>
        </w:rPr>
        <w:t xml:space="preserve">. The student’s supervisor(s) </w:t>
      </w:r>
      <w:r w:rsidRPr="00690BBA">
        <w:rPr>
          <w:rFonts w:ascii="IBM Plex Sans" w:hAnsi="IBM Plex Sans"/>
          <w:sz w:val="22"/>
          <w:szCs w:val="22"/>
        </w:rPr>
        <w:t xml:space="preserve">will </w:t>
      </w:r>
      <w:r w:rsidR="00A653D5" w:rsidRPr="00690BBA">
        <w:rPr>
          <w:rFonts w:ascii="IBM Plex Sans" w:hAnsi="IBM Plex Sans"/>
          <w:sz w:val="22"/>
          <w:szCs w:val="22"/>
        </w:rPr>
        <w:t>ensure the implementation of these corrective measures and will inform the GPD, in writing, of their successful implementation.</w:t>
      </w:r>
      <w:r w:rsidRPr="00690BBA">
        <w:rPr>
          <w:rFonts w:ascii="IBM Plex Sans" w:hAnsi="IBM Plex Sans"/>
          <w:sz w:val="22"/>
          <w:szCs w:val="22"/>
        </w:rPr>
        <w:br/>
      </w:r>
      <w:r w:rsidRPr="00690BBA">
        <w:rPr>
          <w:rFonts w:ascii="IBM Plex Sans" w:hAnsi="IBM Plex Sans"/>
          <w:sz w:val="22"/>
          <w:szCs w:val="22"/>
        </w:rPr>
        <w:br/>
      </w:r>
      <w:r w:rsidRPr="00690BBA">
        <w:rPr>
          <w:rFonts w:ascii="IBM Plex Sans" w:hAnsi="IBM Plex Sans"/>
          <w:sz w:val="22"/>
          <w:szCs w:val="22"/>
        </w:rPr>
        <w:t xml:space="preserve">A written report is required from the Chair of the examination committee in case of a failure. The examination committee may recommend either that the student retake the examination within six months or that the student withdraw from the PhD program. </w:t>
      </w:r>
      <w:r w:rsidRPr="00690BBA">
        <w:rPr>
          <w:rFonts w:ascii="IBM Plex Sans" w:hAnsi="IBM Plex Sans"/>
          <w:sz w:val="22"/>
          <w:szCs w:val="22"/>
        </w:rPr>
        <w:br/>
      </w:r>
      <w:r w:rsidRPr="00690BBA">
        <w:rPr>
          <w:rFonts w:ascii="IBM Plex Sans" w:hAnsi="IBM Plex Sans"/>
          <w:sz w:val="22"/>
          <w:szCs w:val="22"/>
        </w:rPr>
        <w:br/>
        <w:t>The outcome of the second PhD comprehensive examination (i.e. on that has been “retaken”) will be final. That is, no third PhD comprehensive examination will be allowed, and a student who failed both attempts will be withdrawn from the Program.</w:t>
      </w:r>
    </w:p>
    <w:p w14:paraId="1058A9AF" w14:textId="63DFBC0A" w:rsidR="00A653D5" w:rsidRPr="00690BBA" w:rsidRDefault="00A653D5" w:rsidP="00690BBA">
      <w:pPr>
        <w:pStyle w:val="ListParagraph"/>
        <w:rPr>
          <w:rFonts w:ascii="IBM Plex Sans" w:hAnsi="IBM Plex Sans"/>
          <w:sz w:val="22"/>
          <w:szCs w:val="22"/>
        </w:rPr>
      </w:pPr>
    </w:p>
    <w:p w14:paraId="573917AF" w14:textId="193DB0F0" w:rsidR="00A11F34" w:rsidRPr="00690BBA" w:rsidRDefault="00A11F34" w:rsidP="00690BBA">
      <w:pPr>
        <w:rPr>
          <w:rFonts w:ascii="IBM Plex Sans" w:hAnsi="IBM Plex Sans"/>
          <w:sz w:val="22"/>
          <w:szCs w:val="22"/>
        </w:rPr>
      </w:pPr>
    </w:p>
    <w:p w14:paraId="503E1DA5" w14:textId="5DF391CE" w:rsidR="00B14ABD" w:rsidRPr="00690BBA" w:rsidRDefault="00B14ABD" w:rsidP="00B14ABD">
      <w:pPr>
        <w:numPr>
          <w:ilvl w:val="0"/>
          <w:numId w:val="1"/>
        </w:numPr>
        <w:rPr>
          <w:rFonts w:ascii="IBM Plex Sans" w:hAnsi="IBM Plex Sans"/>
          <w:b/>
          <w:bCs/>
          <w:sz w:val="22"/>
          <w:szCs w:val="22"/>
        </w:rPr>
      </w:pPr>
      <w:r w:rsidRPr="00690BBA">
        <w:rPr>
          <w:rFonts w:ascii="IBM Plex Sans" w:hAnsi="IBM Plex Sans"/>
          <w:b/>
          <w:bCs/>
          <w:sz w:val="22"/>
          <w:szCs w:val="22"/>
        </w:rPr>
        <w:t xml:space="preserve">Procedures for Updating Graduate Milestone Examinations </w:t>
      </w:r>
    </w:p>
    <w:p w14:paraId="5F13EAFA" w14:textId="524FE1EE" w:rsidR="00690BBA" w:rsidRPr="00270C6F" w:rsidRDefault="00A653D5" w:rsidP="00A7013F">
      <w:pPr>
        <w:ind w:left="720"/>
        <w:rPr>
          <w:b/>
          <w:bCs/>
        </w:rPr>
      </w:pPr>
      <w:r w:rsidRPr="00690BBA">
        <w:rPr>
          <w:rFonts w:ascii="IBM Plex Sans" w:hAnsi="IBM Plex Sans"/>
          <w:sz w:val="22"/>
          <w:szCs w:val="22"/>
        </w:rPr>
        <w:t>These procedures will be reviewed as part of the regular CPR process</w:t>
      </w:r>
      <w:r w:rsidR="00AB5435" w:rsidRPr="00690BBA">
        <w:rPr>
          <w:rFonts w:ascii="IBM Plex Sans" w:hAnsi="IBM Plex Sans"/>
          <w:sz w:val="22"/>
          <w:szCs w:val="22"/>
        </w:rPr>
        <w:t>. Any c</w:t>
      </w:r>
      <w:r w:rsidRPr="00690BBA">
        <w:rPr>
          <w:rFonts w:ascii="IBM Plex Sans" w:hAnsi="IBM Plex Sans"/>
          <w:sz w:val="22"/>
          <w:szCs w:val="22"/>
        </w:rPr>
        <w:t xml:space="preserve">hanges </w:t>
      </w:r>
      <w:r w:rsidR="00AB5435" w:rsidRPr="00690BBA">
        <w:rPr>
          <w:rFonts w:ascii="IBM Plex Sans" w:hAnsi="IBM Plex Sans"/>
          <w:sz w:val="22"/>
          <w:szCs w:val="22"/>
        </w:rPr>
        <w:t>will be proposed by a committee formed for th</w:t>
      </w:r>
      <w:r w:rsidR="00641600" w:rsidRPr="00690BBA">
        <w:rPr>
          <w:rFonts w:ascii="IBM Plex Sans" w:hAnsi="IBM Plex Sans"/>
          <w:sz w:val="22"/>
          <w:szCs w:val="22"/>
        </w:rPr>
        <w:t xml:space="preserve">is </w:t>
      </w:r>
      <w:r w:rsidR="00AB5435" w:rsidRPr="00690BBA">
        <w:rPr>
          <w:rFonts w:ascii="IBM Plex Sans" w:hAnsi="IBM Plex Sans"/>
          <w:sz w:val="22"/>
          <w:szCs w:val="22"/>
        </w:rPr>
        <w:t xml:space="preserve"> purpose, and will be brought to the SPTH Executive for approval</w:t>
      </w:r>
      <w:r w:rsidR="002E245E" w:rsidRPr="00690BBA">
        <w:rPr>
          <w:rFonts w:ascii="IBM Plex Sans" w:hAnsi="IBM Plex Sans"/>
          <w:sz w:val="22"/>
          <w:szCs w:val="22"/>
        </w:rPr>
        <w:t xml:space="preserve"> before moving through the expected Faculty-level approval mechanisms</w:t>
      </w:r>
      <w:r w:rsidR="00A7013F">
        <w:rPr>
          <w:rFonts w:ascii="IBM Plex Sans" w:hAnsi="IBM Plex Sans"/>
          <w:sz w:val="22"/>
          <w:szCs w:val="22"/>
        </w:rPr>
        <w:t>.</w:t>
      </w:r>
    </w:p>
    <w:sectPr w:rsidR="00690BBA" w:rsidRPr="00270C6F" w:rsidSect="00D257DF">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B83D08" w14:textId="77777777" w:rsidR="0003305C" w:rsidRDefault="0003305C" w:rsidP="00690BBA">
      <w:r>
        <w:separator/>
      </w:r>
    </w:p>
  </w:endnote>
  <w:endnote w:type="continuationSeparator" w:id="0">
    <w:p w14:paraId="70A892F6" w14:textId="77777777" w:rsidR="0003305C" w:rsidRDefault="0003305C" w:rsidP="00690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7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3EE091" w14:textId="5B44E00A" w:rsidR="00690BBA" w:rsidRPr="00690BBA" w:rsidRDefault="00690BBA" w:rsidP="00690BBA">
    <w:pPr>
      <w:pStyle w:val="Footer"/>
      <w:jc w:val="right"/>
      <w:rPr>
        <w:rFonts w:ascii="IBM Plex Sans" w:hAnsi="IBM Plex Sans"/>
        <w:sz w:val="22"/>
        <w:szCs w:val="22"/>
      </w:rPr>
    </w:pPr>
    <w:r w:rsidRPr="00690BBA">
      <w:rPr>
        <w:rFonts w:ascii="IBM Plex Sans" w:hAnsi="IBM Plex Sans"/>
        <w:sz w:val="22"/>
        <w:szCs w:val="22"/>
      </w:rPr>
      <w:t>August 13,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E2AA7E" w14:textId="77777777" w:rsidR="0003305C" w:rsidRDefault="0003305C" w:rsidP="00690BBA">
      <w:r>
        <w:separator/>
      </w:r>
    </w:p>
  </w:footnote>
  <w:footnote w:type="continuationSeparator" w:id="0">
    <w:p w14:paraId="24A0EB43" w14:textId="77777777" w:rsidR="0003305C" w:rsidRDefault="0003305C" w:rsidP="00690B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B5FF2"/>
    <w:multiLevelType w:val="hybridMultilevel"/>
    <w:tmpl w:val="413605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F655B85"/>
    <w:multiLevelType w:val="hybridMultilevel"/>
    <w:tmpl w:val="DD26B3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913198D"/>
    <w:multiLevelType w:val="multilevel"/>
    <w:tmpl w:val="C0169D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C42CE8"/>
    <w:multiLevelType w:val="multilevel"/>
    <w:tmpl w:val="B44EB88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b w:val="0"/>
        <w:bCs w:val="0"/>
      </w:rPr>
    </w:lvl>
    <w:lvl w:ilvl="2">
      <w:numFmt w:val="bullet"/>
      <w:lvlText w:val="-"/>
      <w:lvlJc w:val="left"/>
      <w:pPr>
        <w:ind w:left="2160" w:hanging="360"/>
      </w:pPr>
      <w:rPr>
        <w:rFonts w:ascii="Calibri" w:eastAsiaTheme="minorHAnsi"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16741E"/>
    <w:multiLevelType w:val="multilevel"/>
    <w:tmpl w:val="DDDE27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397E12"/>
    <w:multiLevelType w:val="multilevel"/>
    <w:tmpl w:val="9F8065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9AE5B93"/>
    <w:multiLevelType w:val="hybridMultilevel"/>
    <w:tmpl w:val="9C0E38F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4A3808D8"/>
    <w:multiLevelType w:val="multilevel"/>
    <w:tmpl w:val="56AEA3AC"/>
    <w:lvl w:ilvl="0">
      <w:start w:val="1"/>
      <w:numFmt w:val="bullet"/>
      <w:lvlText w:val=""/>
      <w:lvlJc w:val="left"/>
      <w:pPr>
        <w:ind w:left="1440" w:hanging="360"/>
      </w:pPr>
      <w:rPr>
        <w:rFonts w:ascii="Symbol" w:hAnsi="Symbol" w:hint="default"/>
      </w:rPr>
    </w:lvl>
    <w:lvl w:ilvl="1">
      <w:start w:val="1"/>
      <w:numFmt w:val="lowerLetter"/>
      <w:lvlText w:val="%2)"/>
      <w:lvlJc w:val="left"/>
      <w:pPr>
        <w:ind w:left="1800" w:hanging="360"/>
      </w:pPr>
    </w:lvl>
    <w:lvl w:ilvl="2">
      <w:start w:val="1"/>
      <w:numFmt w:val="lowerRoman"/>
      <w:lvlText w:val="%3)"/>
      <w:lvlJc w:val="left"/>
      <w:pPr>
        <w:ind w:left="2160" w:hanging="360"/>
      </w:pPr>
    </w:lvl>
    <w:lvl w:ilvl="3">
      <w:start w:val="1"/>
      <w:numFmt w:val="decimal"/>
      <w:lvlText w:val="(%4)"/>
      <w:lvlJc w:val="left"/>
      <w:pPr>
        <w:ind w:left="2520" w:hanging="360"/>
      </w:pPr>
    </w:lvl>
    <w:lvl w:ilvl="4">
      <w:start w:val="1"/>
      <w:numFmt w:val="lowerLetter"/>
      <w:lvlText w:val="(%5)"/>
      <w:lvlJc w:val="left"/>
      <w:pPr>
        <w:ind w:left="2880" w:hanging="360"/>
      </w:pPr>
    </w:lvl>
    <w:lvl w:ilvl="5">
      <w:start w:val="1"/>
      <w:numFmt w:val="lowerRoman"/>
      <w:lvlText w:val="(%6)"/>
      <w:lvlJc w:val="left"/>
      <w:pPr>
        <w:ind w:left="3240" w:hanging="360"/>
      </w:pPr>
    </w:lvl>
    <w:lvl w:ilvl="6">
      <w:start w:val="1"/>
      <w:numFmt w:val="decimal"/>
      <w:lvlText w:val="%7."/>
      <w:lvlJc w:val="left"/>
      <w:pPr>
        <w:ind w:left="3600" w:hanging="360"/>
      </w:pPr>
    </w:lvl>
    <w:lvl w:ilvl="7">
      <w:start w:val="1"/>
      <w:numFmt w:val="lowerLetter"/>
      <w:lvlText w:val="%8."/>
      <w:lvlJc w:val="left"/>
      <w:pPr>
        <w:ind w:left="3960" w:hanging="360"/>
      </w:pPr>
    </w:lvl>
    <w:lvl w:ilvl="8">
      <w:start w:val="1"/>
      <w:numFmt w:val="lowerRoman"/>
      <w:lvlText w:val="%9."/>
      <w:lvlJc w:val="left"/>
      <w:pPr>
        <w:ind w:left="4320" w:hanging="360"/>
      </w:pPr>
    </w:lvl>
  </w:abstractNum>
  <w:abstractNum w:abstractNumId="8" w15:restartNumberingAfterBreak="0">
    <w:nsid w:val="4B4F4DB0"/>
    <w:multiLevelType w:val="hybridMultilevel"/>
    <w:tmpl w:val="29B684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755405"/>
    <w:multiLevelType w:val="hybridMultilevel"/>
    <w:tmpl w:val="9F1EB604"/>
    <w:lvl w:ilvl="0" w:tplc="04090003">
      <w:start w:val="1"/>
      <w:numFmt w:val="bullet"/>
      <w:lvlText w:val="o"/>
      <w:lvlJc w:val="left"/>
      <w:pPr>
        <w:ind w:left="1440" w:hanging="360"/>
      </w:pPr>
      <w:rPr>
        <w:rFonts w:ascii="Courier New" w:hAnsi="Courier New" w:cs="Courier New" w:hint="default"/>
        <w:color w:val="B14FC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2B260BB"/>
    <w:multiLevelType w:val="hybridMultilevel"/>
    <w:tmpl w:val="47C240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9655A36"/>
    <w:multiLevelType w:val="multilevel"/>
    <w:tmpl w:val="254AD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C424507"/>
    <w:multiLevelType w:val="hybridMultilevel"/>
    <w:tmpl w:val="B67AD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417C17"/>
    <w:multiLevelType w:val="multilevel"/>
    <w:tmpl w:val="56AEA3AC"/>
    <w:lvl w:ilvl="0">
      <w:start w:val="1"/>
      <w:numFmt w:val="bullet"/>
      <w:lvlText w:val=""/>
      <w:lvlJc w:val="left"/>
      <w:pPr>
        <w:ind w:left="1440" w:hanging="360"/>
      </w:pPr>
      <w:rPr>
        <w:rFonts w:ascii="Symbol" w:hAnsi="Symbol" w:hint="default"/>
      </w:rPr>
    </w:lvl>
    <w:lvl w:ilvl="1">
      <w:start w:val="1"/>
      <w:numFmt w:val="lowerLetter"/>
      <w:lvlText w:val="%2)"/>
      <w:lvlJc w:val="left"/>
      <w:pPr>
        <w:ind w:left="1800" w:hanging="360"/>
      </w:pPr>
    </w:lvl>
    <w:lvl w:ilvl="2">
      <w:start w:val="1"/>
      <w:numFmt w:val="lowerRoman"/>
      <w:lvlText w:val="%3)"/>
      <w:lvlJc w:val="left"/>
      <w:pPr>
        <w:ind w:left="2160" w:hanging="360"/>
      </w:pPr>
    </w:lvl>
    <w:lvl w:ilvl="3">
      <w:start w:val="1"/>
      <w:numFmt w:val="decimal"/>
      <w:lvlText w:val="(%4)"/>
      <w:lvlJc w:val="left"/>
      <w:pPr>
        <w:ind w:left="2520" w:hanging="360"/>
      </w:pPr>
    </w:lvl>
    <w:lvl w:ilvl="4">
      <w:start w:val="1"/>
      <w:numFmt w:val="lowerLetter"/>
      <w:lvlText w:val="(%5)"/>
      <w:lvlJc w:val="left"/>
      <w:pPr>
        <w:ind w:left="2880" w:hanging="360"/>
      </w:pPr>
    </w:lvl>
    <w:lvl w:ilvl="5">
      <w:start w:val="1"/>
      <w:numFmt w:val="lowerRoman"/>
      <w:lvlText w:val="(%6)"/>
      <w:lvlJc w:val="left"/>
      <w:pPr>
        <w:ind w:left="3240" w:hanging="360"/>
      </w:pPr>
    </w:lvl>
    <w:lvl w:ilvl="6">
      <w:start w:val="1"/>
      <w:numFmt w:val="decimal"/>
      <w:lvlText w:val="%7."/>
      <w:lvlJc w:val="left"/>
      <w:pPr>
        <w:ind w:left="3600" w:hanging="360"/>
      </w:pPr>
    </w:lvl>
    <w:lvl w:ilvl="7">
      <w:start w:val="1"/>
      <w:numFmt w:val="lowerLetter"/>
      <w:lvlText w:val="%8."/>
      <w:lvlJc w:val="left"/>
      <w:pPr>
        <w:ind w:left="3960" w:hanging="360"/>
      </w:pPr>
    </w:lvl>
    <w:lvl w:ilvl="8">
      <w:start w:val="1"/>
      <w:numFmt w:val="lowerRoman"/>
      <w:lvlText w:val="%9."/>
      <w:lvlJc w:val="left"/>
      <w:pPr>
        <w:ind w:left="4320" w:hanging="360"/>
      </w:pPr>
    </w:lvl>
  </w:abstractNum>
  <w:num w:numId="1" w16cid:durableId="998313734">
    <w:abstractNumId w:val="3"/>
  </w:num>
  <w:num w:numId="2" w16cid:durableId="1157308186">
    <w:abstractNumId w:val="5"/>
  </w:num>
  <w:num w:numId="3" w16cid:durableId="1572234599">
    <w:abstractNumId w:val="13"/>
  </w:num>
  <w:num w:numId="4" w16cid:durableId="667951970">
    <w:abstractNumId w:val="11"/>
  </w:num>
  <w:num w:numId="5" w16cid:durableId="745570160">
    <w:abstractNumId w:val="2"/>
  </w:num>
  <w:num w:numId="6" w16cid:durableId="1414163100">
    <w:abstractNumId w:val="7"/>
  </w:num>
  <w:num w:numId="7" w16cid:durableId="818955849">
    <w:abstractNumId w:val="4"/>
  </w:num>
  <w:num w:numId="8" w16cid:durableId="525407154">
    <w:abstractNumId w:val="9"/>
  </w:num>
  <w:num w:numId="9" w16cid:durableId="709257452">
    <w:abstractNumId w:val="8"/>
  </w:num>
  <w:num w:numId="10" w16cid:durableId="2023317150">
    <w:abstractNumId w:val="0"/>
  </w:num>
  <w:num w:numId="11" w16cid:durableId="181626814">
    <w:abstractNumId w:val="1"/>
  </w:num>
  <w:num w:numId="12" w16cid:durableId="1765418979">
    <w:abstractNumId w:val="10"/>
  </w:num>
  <w:num w:numId="13" w16cid:durableId="63993031">
    <w:abstractNumId w:val="6"/>
  </w:num>
  <w:num w:numId="14" w16cid:durableId="4109280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C23"/>
    <w:rsid w:val="00010C23"/>
    <w:rsid w:val="0003305C"/>
    <w:rsid w:val="00180625"/>
    <w:rsid w:val="001D4AA6"/>
    <w:rsid w:val="00225159"/>
    <w:rsid w:val="002612BE"/>
    <w:rsid w:val="00270C6F"/>
    <w:rsid w:val="00296DB2"/>
    <w:rsid w:val="002B090F"/>
    <w:rsid w:val="002E245E"/>
    <w:rsid w:val="00366FA9"/>
    <w:rsid w:val="003A5646"/>
    <w:rsid w:val="003E3B55"/>
    <w:rsid w:val="00480C47"/>
    <w:rsid w:val="004D63A3"/>
    <w:rsid w:val="004F2E46"/>
    <w:rsid w:val="004F653A"/>
    <w:rsid w:val="005B5E6B"/>
    <w:rsid w:val="00641600"/>
    <w:rsid w:val="006714EF"/>
    <w:rsid w:val="006775CC"/>
    <w:rsid w:val="00690BBA"/>
    <w:rsid w:val="007741EE"/>
    <w:rsid w:val="008249B8"/>
    <w:rsid w:val="008C299F"/>
    <w:rsid w:val="008D1229"/>
    <w:rsid w:val="00917812"/>
    <w:rsid w:val="009829FB"/>
    <w:rsid w:val="009D0974"/>
    <w:rsid w:val="009E08DF"/>
    <w:rsid w:val="009F666E"/>
    <w:rsid w:val="00A06871"/>
    <w:rsid w:val="00A11F34"/>
    <w:rsid w:val="00A15C5D"/>
    <w:rsid w:val="00A653D5"/>
    <w:rsid w:val="00A7013F"/>
    <w:rsid w:val="00AB5435"/>
    <w:rsid w:val="00B14ABD"/>
    <w:rsid w:val="00B57DDF"/>
    <w:rsid w:val="00C1413A"/>
    <w:rsid w:val="00CB2B3F"/>
    <w:rsid w:val="00D257DF"/>
    <w:rsid w:val="00D46B91"/>
    <w:rsid w:val="00D87E83"/>
    <w:rsid w:val="00DB6A06"/>
    <w:rsid w:val="00DD0684"/>
    <w:rsid w:val="00DD71C9"/>
    <w:rsid w:val="00E26DE5"/>
    <w:rsid w:val="00F26D9F"/>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C517F"/>
  <w15:chartTrackingRefBased/>
  <w15:docId w15:val="{A4906A65-5F6D-5E4F-AA4E-7ED859C8E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14EF"/>
    <w:pPr>
      <w:ind w:left="720"/>
      <w:contextualSpacing/>
    </w:pPr>
  </w:style>
  <w:style w:type="paragraph" w:styleId="Revision">
    <w:name w:val="Revision"/>
    <w:hidden/>
    <w:uiPriority w:val="99"/>
    <w:semiHidden/>
    <w:rsid w:val="002612BE"/>
  </w:style>
  <w:style w:type="character" w:styleId="CommentReference">
    <w:name w:val="annotation reference"/>
    <w:basedOn w:val="DefaultParagraphFont"/>
    <w:uiPriority w:val="99"/>
    <w:semiHidden/>
    <w:unhideWhenUsed/>
    <w:rsid w:val="002612BE"/>
    <w:rPr>
      <w:sz w:val="16"/>
      <w:szCs w:val="16"/>
    </w:rPr>
  </w:style>
  <w:style w:type="paragraph" w:styleId="CommentText">
    <w:name w:val="annotation text"/>
    <w:basedOn w:val="Normal"/>
    <w:link w:val="CommentTextChar"/>
    <w:uiPriority w:val="99"/>
    <w:semiHidden/>
    <w:unhideWhenUsed/>
    <w:rsid w:val="002612BE"/>
    <w:rPr>
      <w:sz w:val="20"/>
      <w:szCs w:val="20"/>
    </w:rPr>
  </w:style>
  <w:style w:type="character" w:customStyle="1" w:styleId="CommentTextChar">
    <w:name w:val="Comment Text Char"/>
    <w:basedOn w:val="DefaultParagraphFont"/>
    <w:link w:val="CommentText"/>
    <w:uiPriority w:val="99"/>
    <w:semiHidden/>
    <w:rsid w:val="002612BE"/>
    <w:rPr>
      <w:sz w:val="20"/>
      <w:szCs w:val="20"/>
    </w:rPr>
  </w:style>
  <w:style w:type="paragraph" w:styleId="CommentSubject">
    <w:name w:val="annotation subject"/>
    <w:basedOn w:val="CommentText"/>
    <w:next w:val="CommentText"/>
    <w:link w:val="CommentSubjectChar"/>
    <w:uiPriority w:val="99"/>
    <w:semiHidden/>
    <w:unhideWhenUsed/>
    <w:rsid w:val="002612BE"/>
    <w:rPr>
      <w:b/>
      <w:bCs/>
    </w:rPr>
  </w:style>
  <w:style w:type="character" w:customStyle="1" w:styleId="CommentSubjectChar">
    <w:name w:val="Comment Subject Char"/>
    <w:basedOn w:val="CommentTextChar"/>
    <w:link w:val="CommentSubject"/>
    <w:uiPriority w:val="99"/>
    <w:semiHidden/>
    <w:rsid w:val="002612BE"/>
    <w:rPr>
      <w:b/>
      <w:bCs/>
      <w:sz w:val="20"/>
      <w:szCs w:val="20"/>
    </w:rPr>
  </w:style>
  <w:style w:type="paragraph" w:styleId="Header">
    <w:name w:val="header"/>
    <w:basedOn w:val="Normal"/>
    <w:link w:val="HeaderChar"/>
    <w:uiPriority w:val="99"/>
    <w:unhideWhenUsed/>
    <w:rsid w:val="00690BBA"/>
    <w:pPr>
      <w:tabs>
        <w:tab w:val="center" w:pos="4680"/>
        <w:tab w:val="right" w:pos="9360"/>
      </w:tabs>
    </w:pPr>
  </w:style>
  <w:style w:type="character" w:customStyle="1" w:styleId="HeaderChar">
    <w:name w:val="Header Char"/>
    <w:basedOn w:val="DefaultParagraphFont"/>
    <w:link w:val="Header"/>
    <w:uiPriority w:val="99"/>
    <w:rsid w:val="00690BBA"/>
  </w:style>
  <w:style w:type="paragraph" w:styleId="Footer">
    <w:name w:val="footer"/>
    <w:basedOn w:val="Normal"/>
    <w:link w:val="FooterChar"/>
    <w:uiPriority w:val="99"/>
    <w:unhideWhenUsed/>
    <w:rsid w:val="00690BBA"/>
    <w:pPr>
      <w:tabs>
        <w:tab w:val="center" w:pos="4680"/>
        <w:tab w:val="right" w:pos="9360"/>
      </w:tabs>
    </w:pPr>
  </w:style>
  <w:style w:type="character" w:customStyle="1" w:styleId="FooterChar">
    <w:name w:val="Footer Char"/>
    <w:basedOn w:val="DefaultParagraphFont"/>
    <w:link w:val="Footer"/>
    <w:uiPriority w:val="99"/>
    <w:rsid w:val="00690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454095">
      <w:bodyDiv w:val="1"/>
      <w:marLeft w:val="0"/>
      <w:marRight w:val="0"/>
      <w:marTop w:val="0"/>
      <w:marBottom w:val="0"/>
      <w:divBdr>
        <w:top w:val="none" w:sz="0" w:space="0" w:color="auto"/>
        <w:left w:val="none" w:sz="0" w:space="0" w:color="auto"/>
        <w:bottom w:val="none" w:sz="0" w:space="0" w:color="auto"/>
        <w:right w:val="none" w:sz="0" w:space="0" w:color="auto"/>
      </w:divBdr>
    </w:div>
    <w:div w:id="278268792">
      <w:bodyDiv w:val="1"/>
      <w:marLeft w:val="0"/>
      <w:marRight w:val="0"/>
      <w:marTop w:val="0"/>
      <w:marBottom w:val="0"/>
      <w:divBdr>
        <w:top w:val="none" w:sz="0" w:space="0" w:color="auto"/>
        <w:left w:val="none" w:sz="0" w:space="0" w:color="auto"/>
        <w:bottom w:val="none" w:sz="0" w:space="0" w:color="auto"/>
        <w:right w:val="none" w:sz="0" w:space="0" w:color="auto"/>
      </w:divBdr>
      <w:divsChild>
        <w:div w:id="1107191896">
          <w:marLeft w:val="0"/>
          <w:marRight w:val="0"/>
          <w:marTop w:val="0"/>
          <w:marBottom w:val="0"/>
          <w:divBdr>
            <w:top w:val="none" w:sz="0" w:space="0" w:color="auto"/>
            <w:left w:val="none" w:sz="0" w:space="0" w:color="auto"/>
            <w:bottom w:val="none" w:sz="0" w:space="0" w:color="auto"/>
            <w:right w:val="none" w:sz="0" w:space="0" w:color="auto"/>
          </w:divBdr>
          <w:divsChild>
            <w:div w:id="219637175">
              <w:marLeft w:val="0"/>
              <w:marRight w:val="0"/>
              <w:marTop w:val="0"/>
              <w:marBottom w:val="0"/>
              <w:divBdr>
                <w:top w:val="none" w:sz="0" w:space="0" w:color="auto"/>
                <w:left w:val="none" w:sz="0" w:space="0" w:color="auto"/>
                <w:bottom w:val="none" w:sz="0" w:space="0" w:color="auto"/>
                <w:right w:val="none" w:sz="0" w:space="0" w:color="auto"/>
              </w:divBdr>
              <w:divsChild>
                <w:div w:id="79968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095440">
      <w:bodyDiv w:val="1"/>
      <w:marLeft w:val="0"/>
      <w:marRight w:val="0"/>
      <w:marTop w:val="0"/>
      <w:marBottom w:val="0"/>
      <w:divBdr>
        <w:top w:val="none" w:sz="0" w:space="0" w:color="auto"/>
        <w:left w:val="none" w:sz="0" w:space="0" w:color="auto"/>
        <w:bottom w:val="none" w:sz="0" w:space="0" w:color="auto"/>
        <w:right w:val="none" w:sz="0" w:space="0" w:color="auto"/>
      </w:divBdr>
      <w:divsChild>
        <w:div w:id="1957567384">
          <w:marLeft w:val="0"/>
          <w:marRight w:val="0"/>
          <w:marTop w:val="0"/>
          <w:marBottom w:val="0"/>
          <w:divBdr>
            <w:top w:val="none" w:sz="0" w:space="0" w:color="auto"/>
            <w:left w:val="none" w:sz="0" w:space="0" w:color="auto"/>
            <w:bottom w:val="none" w:sz="0" w:space="0" w:color="auto"/>
            <w:right w:val="none" w:sz="0" w:space="0" w:color="auto"/>
          </w:divBdr>
          <w:divsChild>
            <w:div w:id="368452930">
              <w:marLeft w:val="0"/>
              <w:marRight w:val="0"/>
              <w:marTop w:val="0"/>
              <w:marBottom w:val="0"/>
              <w:divBdr>
                <w:top w:val="none" w:sz="0" w:space="0" w:color="auto"/>
                <w:left w:val="none" w:sz="0" w:space="0" w:color="auto"/>
                <w:bottom w:val="none" w:sz="0" w:space="0" w:color="auto"/>
                <w:right w:val="none" w:sz="0" w:space="0" w:color="auto"/>
              </w:divBdr>
              <w:divsChild>
                <w:div w:id="3593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084105">
      <w:bodyDiv w:val="1"/>
      <w:marLeft w:val="0"/>
      <w:marRight w:val="0"/>
      <w:marTop w:val="0"/>
      <w:marBottom w:val="0"/>
      <w:divBdr>
        <w:top w:val="none" w:sz="0" w:space="0" w:color="auto"/>
        <w:left w:val="none" w:sz="0" w:space="0" w:color="auto"/>
        <w:bottom w:val="none" w:sz="0" w:space="0" w:color="auto"/>
        <w:right w:val="none" w:sz="0" w:space="0" w:color="auto"/>
      </w:divBdr>
      <w:divsChild>
        <w:div w:id="240529135">
          <w:marLeft w:val="0"/>
          <w:marRight w:val="0"/>
          <w:marTop w:val="0"/>
          <w:marBottom w:val="0"/>
          <w:divBdr>
            <w:top w:val="none" w:sz="0" w:space="0" w:color="auto"/>
            <w:left w:val="none" w:sz="0" w:space="0" w:color="auto"/>
            <w:bottom w:val="none" w:sz="0" w:space="0" w:color="auto"/>
            <w:right w:val="none" w:sz="0" w:space="0" w:color="auto"/>
          </w:divBdr>
          <w:divsChild>
            <w:div w:id="1351297711">
              <w:marLeft w:val="0"/>
              <w:marRight w:val="0"/>
              <w:marTop w:val="0"/>
              <w:marBottom w:val="0"/>
              <w:divBdr>
                <w:top w:val="none" w:sz="0" w:space="0" w:color="auto"/>
                <w:left w:val="none" w:sz="0" w:space="0" w:color="auto"/>
                <w:bottom w:val="none" w:sz="0" w:space="0" w:color="auto"/>
                <w:right w:val="none" w:sz="0" w:space="0" w:color="auto"/>
              </w:divBdr>
              <w:divsChild>
                <w:div w:id="208471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114292">
      <w:bodyDiv w:val="1"/>
      <w:marLeft w:val="0"/>
      <w:marRight w:val="0"/>
      <w:marTop w:val="0"/>
      <w:marBottom w:val="0"/>
      <w:divBdr>
        <w:top w:val="none" w:sz="0" w:space="0" w:color="auto"/>
        <w:left w:val="none" w:sz="0" w:space="0" w:color="auto"/>
        <w:bottom w:val="none" w:sz="0" w:space="0" w:color="auto"/>
        <w:right w:val="none" w:sz="0" w:space="0" w:color="auto"/>
      </w:divBdr>
      <w:divsChild>
        <w:div w:id="1905097692">
          <w:marLeft w:val="0"/>
          <w:marRight w:val="0"/>
          <w:marTop w:val="0"/>
          <w:marBottom w:val="0"/>
          <w:divBdr>
            <w:top w:val="none" w:sz="0" w:space="0" w:color="auto"/>
            <w:left w:val="none" w:sz="0" w:space="0" w:color="auto"/>
            <w:bottom w:val="none" w:sz="0" w:space="0" w:color="auto"/>
            <w:right w:val="none" w:sz="0" w:space="0" w:color="auto"/>
          </w:divBdr>
          <w:divsChild>
            <w:div w:id="1687560758">
              <w:marLeft w:val="0"/>
              <w:marRight w:val="0"/>
              <w:marTop w:val="0"/>
              <w:marBottom w:val="0"/>
              <w:divBdr>
                <w:top w:val="none" w:sz="0" w:space="0" w:color="auto"/>
                <w:left w:val="none" w:sz="0" w:space="0" w:color="auto"/>
                <w:bottom w:val="none" w:sz="0" w:space="0" w:color="auto"/>
                <w:right w:val="none" w:sz="0" w:space="0" w:color="auto"/>
              </w:divBdr>
              <w:divsChild>
                <w:div w:id="46323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991111">
          <w:marLeft w:val="0"/>
          <w:marRight w:val="0"/>
          <w:marTop w:val="0"/>
          <w:marBottom w:val="0"/>
          <w:divBdr>
            <w:top w:val="none" w:sz="0" w:space="0" w:color="auto"/>
            <w:left w:val="none" w:sz="0" w:space="0" w:color="auto"/>
            <w:bottom w:val="none" w:sz="0" w:space="0" w:color="auto"/>
            <w:right w:val="none" w:sz="0" w:space="0" w:color="auto"/>
          </w:divBdr>
          <w:divsChild>
            <w:div w:id="1679192299">
              <w:marLeft w:val="0"/>
              <w:marRight w:val="0"/>
              <w:marTop w:val="0"/>
              <w:marBottom w:val="0"/>
              <w:divBdr>
                <w:top w:val="none" w:sz="0" w:space="0" w:color="auto"/>
                <w:left w:val="none" w:sz="0" w:space="0" w:color="auto"/>
                <w:bottom w:val="none" w:sz="0" w:space="0" w:color="auto"/>
                <w:right w:val="none" w:sz="0" w:space="0" w:color="auto"/>
              </w:divBdr>
              <w:divsChild>
                <w:div w:id="131367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428653">
      <w:bodyDiv w:val="1"/>
      <w:marLeft w:val="0"/>
      <w:marRight w:val="0"/>
      <w:marTop w:val="0"/>
      <w:marBottom w:val="0"/>
      <w:divBdr>
        <w:top w:val="none" w:sz="0" w:space="0" w:color="auto"/>
        <w:left w:val="none" w:sz="0" w:space="0" w:color="auto"/>
        <w:bottom w:val="none" w:sz="0" w:space="0" w:color="auto"/>
        <w:right w:val="none" w:sz="0" w:space="0" w:color="auto"/>
      </w:divBdr>
      <w:divsChild>
        <w:div w:id="1846556277">
          <w:marLeft w:val="0"/>
          <w:marRight w:val="0"/>
          <w:marTop w:val="0"/>
          <w:marBottom w:val="0"/>
          <w:divBdr>
            <w:top w:val="none" w:sz="0" w:space="0" w:color="auto"/>
            <w:left w:val="none" w:sz="0" w:space="0" w:color="auto"/>
            <w:bottom w:val="none" w:sz="0" w:space="0" w:color="auto"/>
            <w:right w:val="none" w:sz="0" w:space="0" w:color="auto"/>
          </w:divBdr>
          <w:divsChild>
            <w:div w:id="111823107">
              <w:marLeft w:val="0"/>
              <w:marRight w:val="0"/>
              <w:marTop w:val="0"/>
              <w:marBottom w:val="0"/>
              <w:divBdr>
                <w:top w:val="none" w:sz="0" w:space="0" w:color="auto"/>
                <w:left w:val="none" w:sz="0" w:space="0" w:color="auto"/>
                <w:bottom w:val="none" w:sz="0" w:space="0" w:color="auto"/>
                <w:right w:val="none" w:sz="0" w:space="0" w:color="auto"/>
              </w:divBdr>
              <w:divsChild>
                <w:div w:id="183131473">
                  <w:marLeft w:val="0"/>
                  <w:marRight w:val="0"/>
                  <w:marTop w:val="0"/>
                  <w:marBottom w:val="0"/>
                  <w:divBdr>
                    <w:top w:val="none" w:sz="0" w:space="0" w:color="auto"/>
                    <w:left w:val="none" w:sz="0" w:space="0" w:color="auto"/>
                    <w:bottom w:val="none" w:sz="0" w:space="0" w:color="auto"/>
                    <w:right w:val="none" w:sz="0" w:space="0" w:color="auto"/>
                  </w:divBdr>
                </w:div>
              </w:divsChild>
            </w:div>
            <w:div w:id="59521071">
              <w:marLeft w:val="0"/>
              <w:marRight w:val="0"/>
              <w:marTop w:val="0"/>
              <w:marBottom w:val="0"/>
              <w:divBdr>
                <w:top w:val="none" w:sz="0" w:space="0" w:color="auto"/>
                <w:left w:val="none" w:sz="0" w:space="0" w:color="auto"/>
                <w:bottom w:val="none" w:sz="0" w:space="0" w:color="auto"/>
                <w:right w:val="none" w:sz="0" w:space="0" w:color="auto"/>
              </w:divBdr>
              <w:divsChild>
                <w:div w:id="45999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746370">
          <w:marLeft w:val="0"/>
          <w:marRight w:val="0"/>
          <w:marTop w:val="0"/>
          <w:marBottom w:val="0"/>
          <w:divBdr>
            <w:top w:val="none" w:sz="0" w:space="0" w:color="auto"/>
            <w:left w:val="none" w:sz="0" w:space="0" w:color="auto"/>
            <w:bottom w:val="none" w:sz="0" w:space="0" w:color="auto"/>
            <w:right w:val="none" w:sz="0" w:space="0" w:color="auto"/>
          </w:divBdr>
          <w:divsChild>
            <w:div w:id="668296005">
              <w:marLeft w:val="0"/>
              <w:marRight w:val="0"/>
              <w:marTop w:val="0"/>
              <w:marBottom w:val="0"/>
              <w:divBdr>
                <w:top w:val="none" w:sz="0" w:space="0" w:color="auto"/>
                <w:left w:val="none" w:sz="0" w:space="0" w:color="auto"/>
                <w:bottom w:val="none" w:sz="0" w:space="0" w:color="auto"/>
                <w:right w:val="none" w:sz="0" w:space="0" w:color="auto"/>
              </w:divBdr>
              <w:divsChild>
                <w:div w:id="129436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504830">
      <w:bodyDiv w:val="1"/>
      <w:marLeft w:val="0"/>
      <w:marRight w:val="0"/>
      <w:marTop w:val="0"/>
      <w:marBottom w:val="0"/>
      <w:divBdr>
        <w:top w:val="none" w:sz="0" w:space="0" w:color="auto"/>
        <w:left w:val="none" w:sz="0" w:space="0" w:color="auto"/>
        <w:bottom w:val="none" w:sz="0" w:space="0" w:color="auto"/>
        <w:right w:val="none" w:sz="0" w:space="0" w:color="auto"/>
      </w:divBdr>
      <w:divsChild>
        <w:div w:id="33696899">
          <w:marLeft w:val="0"/>
          <w:marRight w:val="0"/>
          <w:marTop w:val="0"/>
          <w:marBottom w:val="0"/>
          <w:divBdr>
            <w:top w:val="none" w:sz="0" w:space="0" w:color="auto"/>
            <w:left w:val="none" w:sz="0" w:space="0" w:color="auto"/>
            <w:bottom w:val="none" w:sz="0" w:space="0" w:color="auto"/>
            <w:right w:val="none" w:sz="0" w:space="0" w:color="auto"/>
          </w:divBdr>
          <w:divsChild>
            <w:div w:id="1487015366">
              <w:marLeft w:val="0"/>
              <w:marRight w:val="0"/>
              <w:marTop w:val="0"/>
              <w:marBottom w:val="0"/>
              <w:divBdr>
                <w:top w:val="none" w:sz="0" w:space="0" w:color="auto"/>
                <w:left w:val="none" w:sz="0" w:space="0" w:color="auto"/>
                <w:bottom w:val="none" w:sz="0" w:space="0" w:color="auto"/>
                <w:right w:val="none" w:sz="0" w:space="0" w:color="auto"/>
              </w:divBdr>
              <w:divsChild>
                <w:div w:id="145463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363710">
      <w:bodyDiv w:val="1"/>
      <w:marLeft w:val="0"/>
      <w:marRight w:val="0"/>
      <w:marTop w:val="0"/>
      <w:marBottom w:val="0"/>
      <w:divBdr>
        <w:top w:val="none" w:sz="0" w:space="0" w:color="auto"/>
        <w:left w:val="none" w:sz="0" w:space="0" w:color="auto"/>
        <w:bottom w:val="none" w:sz="0" w:space="0" w:color="auto"/>
        <w:right w:val="none" w:sz="0" w:space="0" w:color="auto"/>
      </w:divBdr>
    </w:div>
    <w:div w:id="1818836550">
      <w:bodyDiv w:val="1"/>
      <w:marLeft w:val="0"/>
      <w:marRight w:val="0"/>
      <w:marTop w:val="0"/>
      <w:marBottom w:val="0"/>
      <w:divBdr>
        <w:top w:val="none" w:sz="0" w:space="0" w:color="auto"/>
        <w:left w:val="none" w:sz="0" w:space="0" w:color="auto"/>
        <w:bottom w:val="none" w:sz="0" w:space="0" w:color="auto"/>
        <w:right w:val="none" w:sz="0" w:space="0" w:color="auto"/>
      </w:divBdr>
      <w:divsChild>
        <w:div w:id="1331133615">
          <w:marLeft w:val="0"/>
          <w:marRight w:val="0"/>
          <w:marTop w:val="0"/>
          <w:marBottom w:val="0"/>
          <w:divBdr>
            <w:top w:val="none" w:sz="0" w:space="0" w:color="auto"/>
            <w:left w:val="none" w:sz="0" w:space="0" w:color="auto"/>
            <w:bottom w:val="none" w:sz="0" w:space="0" w:color="auto"/>
            <w:right w:val="none" w:sz="0" w:space="0" w:color="auto"/>
          </w:divBdr>
          <w:divsChild>
            <w:div w:id="1189174410">
              <w:marLeft w:val="0"/>
              <w:marRight w:val="0"/>
              <w:marTop w:val="0"/>
              <w:marBottom w:val="0"/>
              <w:divBdr>
                <w:top w:val="none" w:sz="0" w:space="0" w:color="auto"/>
                <w:left w:val="none" w:sz="0" w:space="0" w:color="auto"/>
                <w:bottom w:val="none" w:sz="0" w:space="0" w:color="auto"/>
                <w:right w:val="none" w:sz="0" w:space="0" w:color="auto"/>
              </w:divBdr>
              <w:divsChild>
                <w:div w:id="1155992008">
                  <w:marLeft w:val="0"/>
                  <w:marRight w:val="0"/>
                  <w:marTop w:val="0"/>
                  <w:marBottom w:val="0"/>
                  <w:divBdr>
                    <w:top w:val="none" w:sz="0" w:space="0" w:color="auto"/>
                    <w:left w:val="none" w:sz="0" w:space="0" w:color="auto"/>
                    <w:bottom w:val="none" w:sz="0" w:space="0" w:color="auto"/>
                    <w:right w:val="none" w:sz="0" w:space="0" w:color="auto"/>
                  </w:divBdr>
                  <w:divsChild>
                    <w:div w:id="67110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226483">
      <w:bodyDiv w:val="1"/>
      <w:marLeft w:val="0"/>
      <w:marRight w:val="0"/>
      <w:marTop w:val="0"/>
      <w:marBottom w:val="0"/>
      <w:divBdr>
        <w:top w:val="none" w:sz="0" w:space="0" w:color="auto"/>
        <w:left w:val="none" w:sz="0" w:space="0" w:color="auto"/>
        <w:bottom w:val="none" w:sz="0" w:space="0" w:color="auto"/>
        <w:right w:val="none" w:sz="0" w:space="0" w:color="auto"/>
      </w:divBdr>
      <w:divsChild>
        <w:div w:id="2107727384">
          <w:marLeft w:val="0"/>
          <w:marRight w:val="0"/>
          <w:marTop w:val="0"/>
          <w:marBottom w:val="0"/>
          <w:divBdr>
            <w:top w:val="none" w:sz="0" w:space="0" w:color="auto"/>
            <w:left w:val="none" w:sz="0" w:space="0" w:color="auto"/>
            <w:bottom w:val="none" w:sz="0" w:space="0" w:color="auto"/>
            <w:right w:val="none" w:sz="0" w:space="0" w:color="auto"/>
          </w:divBdr>
          <w:divsChild>
            <w:div w:id="1942104387">
              <w:marLeft w:val="0"/>
              <w:marRight w:val="0"/>
              <w:marTop w:val="0"/>
              <w:marBottom w:val="0"/>
              <w:divBdr>
                <w:top w:val="none" w:sz="0" w:space="0" w:color="auto"/>
                <w:left w:val="none" w:sz="0" w:space="0" w:color="auto"/>
                <w:bottom w:val="none" w:sz="0" w:space="0" w:color="auto"/>
                <w:right w:val="none" w:sz="0" w:space="0" w:color="auto"/>
              </w:divBdr>
              <w:divsChild>
                <w:div w:id="1708918961">
                  <w:marLeft w:val="0"/>
                  <w:marRight w:val="0"/>
                  <w:marTop w:val="0"/>
                  <w:marBottom w:val="0"/>
                  <w:divBdr>
                    <w:top w:val="none" w:sz="0" w:space="0" w:color="auto"/>
                    <w:left w:val="none" w:sz="0" w:space="0" w:color="auto"/>
                    <w:bottom w:val="none" w:sz="0" w:space="0" w:color="auto"/>
                    <w:right w:val="none" w:sz="0" w:space="0" w:color="auto"/>
                  </w:divBdr>
                  <w:divsChild>
                    <w:div w:id="50443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1527</Words>
  <Characters>8707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Cecchetto</dc:creator>
  <cp:keywords/>
  <dc:description/>
  <cp:lastModifiedBy>Jean-Thomas Tremblay</cp:lastModifiedBy>
  <cp:revision>2</cp:revision>
  <cp:lastPrinted>2022-09-21T18:12:00Z</cp:lastPrinted>
  <dcterms:created xsi:type="dcterms:W3CDTF">2024-08-13T17:20:00Z</dcterms:created>
  <dcterms:modified xsi:type="dcterms:W3CDTF">2024-08-13T17:20:00Z</dcterms:modified>
</cp:coreProperties>
</file>