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73BA" w14:textId="4E9DA788" w:rsidR="00133D6B" w:rsidRPr="00133D6B" w:rsidRDefault="00133D6B" w:rsidP="00133D6B">
      <w:pPr>
        <w:autoSpaceDE w:val="0"/>
        <w:autoSpaceDN w:val="0"/>
        <w:spacing w:before="120" w:after="120" w:line="240" w:lineRule="auto"/>
        <w:jc w:val="center"/>
        <w:rPr>
          <w:rFonts w:ascii="IBM Plex Sans" w:eastAsia="Times New Roman" w:hAnsi="IBM Plex Sans" w:cs="Franklin Gothic Heavy"/>
          <w:b/>
          <w:bCs/>
          <w:sz w:val="32"/>
          <w:szCs w:val="32"/>
        </w:rPr>
      </w:pPr>
      <w:r>
        <w:rPr>
          <w:rFonts w:ascii="IBM Plex Sans" w:eastAsia="Times New Roman" w:hAnsi="IBM Plex Sans" w:cs="Franklin Gothic Heavy"/>
          <w:b/>
          <w:bCs/>
          <w:sz w:val="32"/>
          <w:szCs w:val="32"/>
        </w:rPr>
        <w:t>Description</w:t>
      </w:r>
      <w:r w:rsidRPr="00133D6B">
        <w:rPr>
          <w:rFonts w:ascii="IBM Plex Sans" w:eastAsia="Times New Roman" w:hAnsi="IBM Plex Sans" w:cs="Franklin Gothic Heavy"/>
          <w:b/>
          <w:bCs/>
          <w:sz w:val="32"/>
          <w:szCs w:val="32"/>
        </w:rPr>
        <w:t xml:space="preserve"> for the </w:t>
      </w:r>
      <w:r w:rsidRPr="00133D6B">
        <w:rPr>
          <w:rFonts w:ascii="IBM Plex Sans" w:eastAsia="Times New Roman" w:hAnsi="IBM Plex Sans" w:cs="Franklin Gothic Heavy"/>
          <w:b/>
          <w:bCs/>
          <w:i/>
          <w:iCs/>
          <w:sz w:val="32"/>
          <w:szCs w:val="32"/>
        </w:rPr>
        <w:t>Dr. Eric Jackman Health Scholars Award</w:t>
      </w:r>
    </w:p>
    <w:p w14:paraId="11FD7C97" w14:textId="77777777" w:rsidR="00133D6B" w:rsidRPr="00133D6B" w:rsidRDefault="00133D6B" w:rsidP="00133D6B">
      <w:pPr>
        <w:keepNext/>
        <w:autoSpaceDE w:val="0"/>
        <w:autoSpaceDN w:val="0"/>
        <w:spacing w:before="240" w:after="60" w:line="240" w:lineRule="auto"/>
        <w:jc w:val="center"/>
        <w:outlineLvl w:val="0"/>
        <w:rPr>
          <w:rFonts w:ascii="IBM Plex Sans" w:eastAsiaTheme="majorEastAsia" w:hAnsi="IBM Plex Sans" w:cs="Times New Roman (Headings CS)"/>
          <w:b/>
          <w:bCs/>
          <w:kern w:val="32"/>
          <w:sz w:val="32"/>
          <w:szCs w:val="32"/>
        </w:rPr>
      </w:pPr>
      <w:r w:rsidRPr="00133D6B">
        <w:rPr>
          <w:rFonts w:ascii="IBM Plex Sans" w:eastAsiaTheme="majorEastAsia" w:hAnsi="IBM Plex Sans" w:cs="Times New Roman (Headings CS)"/>
          <w:b/>
          <w:bCs/>
          <w:kern w:val="32"/>
          <w:sz w:val="32"/>
          <w:szCs w:val="32"/>
        </w:rPr>
        <w:t>LaMarsh Centre for Child and Youth Research</w:t>
      </w:r>
    </w:p>
    <w:p w14:paraId="16897B9B" w14:textId="219E665C" w:rsidR="00133D6B" w:rsidRPr="00133D6B" w:rsidRDefault="00133D6B" w:rsidP="00133D6B">
      <w:pPr>
        <w:autoSpaceDE w:val="0"/>
        <w:autoSpaceDN w:val="0"/>
        <w:spacing w:before="120" w:after="120" w:line="240" w:lineRule="auto"/>
        <w:rPr>
          <w:rFonts w:ascii="IBM Plex Sans" w:eastAsia="Times New Roman" w:hAnsi="IBM Plex Sans" w:cs="Times New Roman"/>
        </w:rPr>
      </w:pPr>
      <w:r w:rsidRPr="00133D6B">
        <w:rPr>
          <w:rFonts w:ascii="IBM Plex Sans" w:eastAsia="Times New Roman" w:hAnsi="IBM Plex Sans" w:cs="Times New Roman"/>
        </w:rPr>
        <w:t xml:space="preserve">The </w:t>
      </w:r>
      <w:r w:rsidRPr="00133D6B">
        <w:rPr>
          <w:rFonts w:ascii="IBM Plex Sans" w:eastAsia="Times New Roman" w:hAnsi="IBM Plex Sans" w:cs="Times New Roman"/>
          <w:i/>
          <w:iCs/>
        </w:rPr>
        <w:t>Dr. Eric Jackman Health Scholars Award</w:t>
      </w:r>
      <w:r w:rsidRPr="00133D6B">
        <w:rPr>
          <w:rFonts w:ascii="IBM Plex Sans" w:eastAsia="Times New Roman" w:hAnsi="IBM Plex Sans" w:cs="Times New Roman"/>
        </w:rPr>
        <w:t xml:space="preserve"> is designed to support student research teams who will be funded to carry out community-engaged research alongside a LaMarsh Faculty Member and community partner. The award will be granted annually to two teams of Jackman Scholars, each comprised of one undergraduate and one graduate student.  This team is meant to foster a situation where both scholars receive mentorship from the faculty member, as well as that the undergraduate scholar received mentorship from the graduate scholar.</w:t>
      </w:r>
    </w:p>
    <w:p w14:paraId="3357A973" w14:textId="77777777" w:rsidR="00133D6B" w:rsidRPr="00133D6B" w:rsidRDefault="00133D6B" w:rsidP="00133D6B">
      <w:pPr>
        <w:autoSpaceDE w:val="0"/>
        <w:autoSpaceDN w:val="0"/>
        <w:spacing w:before="120" w:after="120" w:line="240" w:lineRule="auto"/>
        <w:rPr>
          <w:rFonts w:ascii="IBM Plex Sans" w:eastAsia="Times New Roman" w:hAnsi="IBM Plex Sans" w:cs="Times New Roman"/>
        </w:rPr>
      </w:pPr>
      <w:r w:rsidRPr="00133D6B">
        <w:rPr>
          <w:rFonts w:ascii="IBM Plex Sans" w:eastAsia="Times New Roman" w:hAnsi="IBM Plex Sans" w:cs="Times New Roman"/>
        </w:rPr>
        <w:t xml:space="preserve">Dr. Jackman is the founding chair of the Psychology Foundation of Canada and heads the Jackman Foundation with an interest in child development.  As noted by Dr. Jackman, </w:t>
      </w:r>
    </w:p>
    <w:p w14:paraId="450C66D6" w14:textId="77777777" w:rsidR="00133D6B" w:rsidRPr="00133D6B" w:rsidRDefault="00133D6B" w:rsidP="00133D6B">
      <w:pPr>
        <w:autoSpaceDE w:val="0"/>
        <w:autoSpaceDN w:val="0"/>
        <w:spacing w:before="200" w:line="240" w:lineRule="auto"/>
        <w:ind w:left="864" w:right="864"/>
        <w:rPr>
          <w:rFonts w:ascii="IBM Plex Sans" w:eastAsia="Times New Roman" w:hAnsi="IBM Plex Sans" w:cs="Times New Roman"/>
          <w:i/>
          <w:iCs/>
          <w:color w:val="404040" w:themeColor="text1" w:themeTint="BF"/>
        </w:rPr>
      </w:pPr>
      <w:r w:rsidRPr="00133D6B">
        <w:rPr>
          <w:rFonts w:ascii="IBM Plex Sans" w:eastAsia="Times New Roman" w:hAnsi="IBM Plex Sans" w:cs="Times New Roman"/>
          <w:i/>
          <w:iCs/>
          <w:color w:val="404040" w:themeColor="text1" w:themeTint="BF"/>
        </w:rPr>
        <w:t>“I just believe that the more we understand about how to raise children, how to educate them, the better off they are going to be. We have to find out how to do it – how the brain develops, how kids grow up, and how to educate them best.”</w:t>
      </w:r>
    </w:p>
    <w:p w14:paraId="07D1F337" w14:textId="77777777" w:rsidR="00133D6B" w:rsidRPr="00133D6B" w:rsidRDefault="00133D6B" w:rsidP="00133D6B">
      <w:pPr>
        <w:autoSpaceDE w:val="0"/>
        <w:autoSpaceDN w:val="0"/>
        <w:spacing w:before="120" w:after="120" w:line="240" w:lineRule="auto"/>
        <w:rPr>
          <w:rFonts w:ascii="IBM Plex Sans" w:eastAsia="Times New Roman" w:hAnsi="IBM Plex Sans" w:cs="Times New Roman"/>
        </w:rPr>
      </w:pPr>
      <w:r w:rsidRPr="00133D6B">
        <w:rPr>
          <w:rFonts w:ascii="IBM Plex Sans" w:eastAsia="Times New Roman" w:hAnsi="IBM Plex Sans" w:cs="Times New Roman"/>
        </w:rPr>
        <w:t xml:space="preserve">This award should be submitted by the supervising LaMarsh faculty member, on behalf of the research team. Eligible applications require a community organizational partner (i.e., not an academic partner) in the research. Community partners include not-for-profit organizations (e.g., agencies, advocacy groups, service providers, </w:t>
      </w:r>
      <w:proofErr w:type="spellStart"/>
      <w:r w:rsidRPr="00133D6B">
        <w:rPr>
          <w:rFonts w:ascii="IBM Plex Sans" w:eastAsia="Times New Roman" w:hAnsi="IBM Plex Sans" w:cs="Times New Roman"/>
        </w:rPr>
        <w:t>etc</w:t>
      </w:r>
      <w:proofErr w:type="spellEnd"/>
      <w:r w:rsidRPr="00133D6B">
        <w:rPr>
          <w:rFonts w:ascii="IBM Plex Sans" w:eastAsia="Times New Roman" w:hAnsi="IBM Plex Sans" w:cs="Times New Roman"/>
        </w:rPr>
        <w:t>…) in the social, educational, or healthcare sectors.</w:t>
      </w:r>
    </w:p>
    <w:p w14:paraId="1C6C45CC" w14:textId="77777777" w:rsidR="00133D6B" w:rsidRPr="00133D6B" w:rsidRDefault="00133D6B" w:rsidP="00133D6B">
      <w:pPr>
        <w:autoSpaceDE w:val="0"/>
        <w:autoSpaceDN w:val="0"/>
        <w:spacing w:before="120" w:after="120" w:line="240" w:lineRule="auto"/>
        <w:rPr>
          <w:rFonts w:ascii="IBM Plex Sans" w:eastAsia="Times New Roman" w:hAnsi="IBM Plex Sans" w:cs="Times New Roman"/>
        </w:rPr>
      </w:pPr>
      <w:r w:rsidRPr="00133D6B">
        <w:rPr>
          <w:rFonts w:ascii="IBM Plex Sans" w:eastAsia="Times New Roman" w:hAnsi="IBM Plex Sans" w:cs="Times New Roman"/>
        </w:rPr>
        <w:t>Each application will be rated on the degree to which it:</w:t>
      </w:r>
    </w:p>
    <w:p w14:paraId="00BE5B29" w14:textId="77777777" w:rsidR="00133D6B" w:rsidRPr="00133D6B" w:rsidRDefault="00133D6B" w:rsidP="00133D6B">
      <w:pPr>
        <w:numPr>
          <w:ilvl w:val="0"/>
          <w:numId w:val="2"/>
        </w:numPr>
        <w:autoSpaceDE w:val="0"/>
        <w:autoSpaceDN w:val="0"/>
        <w:spacing w:before="120" w:after="120" w:line="240" w:lineRule="auto"/>
        <w:contextualSpacing/>
        <w:rPr>
          <w:rFonts w:ascii="IBM Plex Sans" w:eastAsia="Times New Roman" w:hAnsi="IBM Plex Sans" w:cs="Times New Roman"/>
        </w:rPr>
      </w:pPr>
      <w:r w:rsidRPr="00133D6B">
        <w:rPr>
          <w:rFonts w:ascii="IBM Plex Sans" w:eastAsia="Times New Roman" w:hAnsi="IBM Plex Sans" w:cs="Times New Roman"/>
        </w:rPr>
        <w:t>involves community engaged research (demonstrated level of engagement with the partner in developing the project)</w:t>
      </w:r>
    </w:p>
    <w:p w14:paraId="21BBE247" w14:textId="77777777" w:rsidR="00133D6B" w:rsidRPr="00133D6B" w:rsidRDefault="00133D6B" w:rsidP="00133D6B">
      <w:pPr>
        <w:numPr>
          <w:ilvl w:val="0"/>
          <w:numId w:val="2"/>
        </w:numPr>
        <w:autoSpaceDE w:val="0"/>
        <w:autoSpaceDN w:val="0"/>
        <w:spacing w:before="120" w:after="120" w:line="240" w:lineRule="auto"/>
        <w:contextualSpacing/>
        <w:rPr>
          <w:rFonts w:ascii="IBM Plex Sans" w:eastAsia="Times New Roman" w:hAnsi="IBM Plex Sans" w:cs="Times New Roman"/>
        </w:rPr>
      </w:pPr>
      <w:r w:rsidRPr="00133D6B">
        <w:rPr>
          <w:rFonts w:ascii="IBM Plex Sans" w:eastAsia="Times New Roman" w:hAnsi="IBM Plex Sans" w:cs="Times New Roman"/>
        </w:rPr>
        <w:t>aims to address a novel research question</w:t>
      </w:r>
    </w:p>
    <w:p w14:paraId="3FE481FB" w14:textId="77777777" w:rsidR="00133D6B" w:rsidRPr="00133D6B" w:rsidRDefault="00133D6B" w:rsidP="00133D6B">
      <w:pPr>
        <w:numPr>
          <w:ilvl w:val="0"/>
          <w:numId w:val="2"/>
        </w:numPr>
        <w:autoSpaceDE w:val="0"/>
        <w:autoSpaceDN w:val="0"/>
        <w:spacing w:before="120" w:after="120" w:line="240" w:lineRule="auto"/>
        <w:contextualSpacing/>
        <w:rPr>
          <w:rFonts w:ascii="IBM Plex Sans" w:eastAsia="Times New Roman" w:hAnsi="IBM Plex Sans" w:cs="Times New Roman"/>
        </w:rPr>
      </w:pPr>
      <w:r w:rsidRPr="00133D6B">
        <w:rPr>
          <w:rFonts w:ascii="IBM Plex Sans" w:eastAsia="Times New Roman" w:hAnsi="IBM Plex Sans" w:cs="Times New Roman"/>
        </w:rPr>
        <w:t xml:space="preserve">is applied in nature (whereby the outcomes of the project may benefit the community partner’s goals), and </w:t>
      </w:r>
    </w:p>
    <w:p w14:paraId="3C5B4467" w14:textId="77777777" w:rsidR="00133D6B" w:rsidRPr="00133D6B" w:rsidRDefault="00133D6B" w:rsidP="00133D6B">
      <w:pPr>
        <w:numPr>
          <w:ilvl w:val="0"/>
          <w:numId w:val="2"/>
        </w:numPr>
        <w:autoSpaceDE w:val="0"/>
        <w:autoSpaceDN w:val="0"/>
        <w:spacing w:before="120" w:after="120" w:line="240" w:lineRule="auto"/>
        <w:contextualSpacing/>
        <w:rPr>
          <w:rFonts w:ascii="IBM Plex Sans" w:eastAsia="Times New Roman" w:hAnsi="IBM Plex Sans" w:cs="Times New Roman"/>
        </w:rPr>
      </w:pPr>
      <w:r w:rsidRPr="00133D6B">
        <w:rPr>
          <w:rFonts w:ascii="IBM Plex Sans" w:eastAsia="Times New Roman" w:hAnsi="IBM Plex Sans" w:cs="Times New Roman"/>
        </w:rPr>
        <w:t xml:space="preserve">will provide mentorship and training opportunities to the funded Scholars. </w:t>
      </w:r>
    </w:p>
    <w:p w14:paraId="145BE6DB" w14:textId="77777777" w:rsidR="00133D6B" w:rsidRPr="00133D6B" w:rsidRDefault="00133D6B" w:rsidP="00133D6B">
      <w:pPr>
        <w:autoSpaceDE w:val="0"/>
        <w:autoSpaceDN w:val="0"/>
        <w:spacing w:before="120" w:after="120" w:line="240" w:lineRule="auto"/>
        <w:rPr>
          <w:rFonts w:ascii="IBM Plex Sans" w:eastAsia="Times New Roman" w:hAnsi="IBM Plex Sans" w:cs="Times New Roman"/>
        </w:rPr>
      </w:pPr>
      <w:r w:rsidRPr="00133D6B">
        <w:rPr>
          <w:rFonts w:ascii="IBM Plex Sans" w:eastAsia="Times New Roman" w:hAnsi="IBM Plex Sans" w:cs="Times New Roman"/>
        </w:rPr>
        <w:t xml:space="preserve">Two research awards will be funded in May 2021, for a 12-month period. It is expected that the successful team will present an update of their project at the Fall </w:t>
      </w:r>
      <w:r w:rsidRPr="00133D6B">
        <w:rPr>
          <w:rFonts w:ascii="IBM Plex Sans" w:eastAsia="Times New Roman" w:hAnsi="IBM Plex Sans" w:cs="Times New Roman"/>
          <w:i/>
          <w:iCs/>
        </w:rPr>
        <w:t>Dr. Eric</w:t>
      </w:r>
      <w:r w:rsidRPr="00133D6B">
        <w:rPr>
          <w:rFonts w:ascii="IBM Plex Sans" w:eastAsia="Times New Roman" w:hAnsi="IBM Plex Sans" w:cs="Times New Roman"/>
        </w:rPr>
        <w:t xml:space="preserve"> </w:t>
      </w:r>
      <w:r w:rsidRPr="00133D6B">
        <w:rPr>
          <w:rFonts w:ascii="IBM Plex Sans" w:eastAsia="Times New Roman" w:hAnsi="IBM Plex Sans" w:cs="Times New Roman"/>
          <w:i/>
          <w:iCs/>
        </w:rPr>
        <w:t>Jackman Health Scholars Learning Forum</w:t>
      </w:r>
      <w:r w:rsidRPr="00133D6B">
        <w:rPr>
          <w:rFonts w:ascii="IBM Plex Sans" w:eastAsia="Times New Roman" w:hAnsi="IBM Plex Sans" w:cs="Times New Roman"/>
          <w:i/>
          <w:iCs/>
          <w:vertAlign w:val="superscript"/>
        </w:rPr>
        <w:footnoteReference w:id="1"/>
      </w:r>
      <w:r w:rsidRPr="00133D6B">
        <w:rPr>
          <w:rFonts w:ascii="IBM Plex Sans" w:eastAsia="Times New Roman" w:hAnsi="IBM Plex Sans" w:cs="Times New Roman"/>
        </w:rPr>
        <w:t xml:space="preserve">, where the scholars, faculty member and community partner will each speak to the impact of collaboration and mentorship, while hearing from a keynote speaker recognized for their knowledge mobilization or as an expert in their study of translational science. </w:t>
      </w:r>
    </w:p>
    <w:p w14:paraId="11E43D5F" w14:textId="7A86D4CB" w:rsidR="004005A7" w:rsidRDefault="004005A7" w:rsidP="00133D6B"/>
    <w:sectPr w:rsidR="00400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3B54C" w14:textId="77777777" w:rsidR="00133D6B" w:rsidRDefault="00133D6B" w:rsidP="00133D6B">
      <w:pPr>
        <w:spacing w:after="0" w:line="240" w:lineRule="auto"/>
      </w:pPr>
      <w:r>
        <w:separator/>
      </w:r>
    </w:p>
  </w:endnote>
  <w:endnote w:type="continuationSeparator" w:id="0">
    <w:p w14:paraId="5CE4CBDB" w14:textId="77777777" w:rsidR="00133D6B" w:rsidRDefault="00133D6B" w:rsidP="0013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altName w:val="Calibri"/>
    <w:charset w:val="00"/>
    <w:family w:val="swiss"/>
    <w:pitch w:val="variable"/>
    <w:sig w:usb0="A00002EF" w:usb1="5000207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1CBB" w14:textId="77777777" w:rsidR="00133D6B" w:rsidRDefault="00133D6B" w:rsidP="00133D6B">
      <w:pPr>
        <w:spacing w:after="0" w:line="240" w:lineRule="auto"/>
      </w:pPr>
      <w:r>
        <w:separator/>
      </w:r>
    </w:p>
  </w:footnote>
  <w:footnote w:type="continuationSeparator" w:id="0">
    <w:p w14:paraId="61A790B2" w14:textId="77777777" w:rsidR="00133D6B" w:rsidRDefault="00133D6B" w:rsidP="00133D6B">
      <w:pPr>
        <w:spacing w:after="0" w:line="240" w:lineRule="auto"/>
      </w:pPr>
      <w:r>
        <w:continuationSeparator/>
      </w:r>
    </w:p>
  </w:footnote>
  <w:footnote w:id="1">
    <w:p w14:paraId="15191144" w14:textId="77777777" w:rsidR="00133D6B" w:rsidRPr="00AE5698" w:rsidRDefault="00133D6B" w:rsidP="00133D6B">
      <w:pPr>
        <w:pStyle w:val="FootnoteText"/>
        <w:rPr>
          <w:sz w:val="18"/>
          <w:szCs w:val="18"/>
        </w:rPr>
      </w:pPr>
      <w:r w:rsidRPr="00AE5698">
        <w:rPr>
          <w:rStyle w:val="FootnoteReference"/>
          <w:sz w:val="18"/>
          <w:szCs w:val="18"/>
        </w:rPr>
        <w:footnoteRef/>
      </w:r>
      <w:r w:rsidRPr="00AE5698">
        <w:rPr>
          <w:sz w:val="18"/>
          <w:szCs w:val="18"/>
        </w:rPr>
        <w:t xml:space="preserve"> The Forum is an online knowledge mobilization event where knowledge and ideas about community-engaged research can be exchanged, bringing together LaMarsh Centre faculty members and trainees, community organizations and collaborators, and the broader academic community.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B40E6"/>
    <w:multiLevelType w:val="hybridMultilevel"/>
    <w:tmpl w:val="1548C8B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720233"/>
    <w:multiLevelType w:val="hybridMultilevel"/>
    <w:tmpl w:val="F8AA3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6B"/>
    <w:rsid w:val="00133D6B"/>
    <w:rsid w:val="0040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707B"/>
  <w15:chartTrackingRefBased/>
  <w15:docId w15:val="{2AD1DD5F-A10A-4D75-98F4-6E2EC5F0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D6B"/>
    <w:rPr>
      <w:sz w:val="20"/>
      <w:szCs w:val="20"/>
    </w:rPr>
  </w:style>
  <w:style w:type="character" w:styleId="FootnoteReference">
    <w:name w:val="footnote reference"/>
    <w:basedOn w:val="DefaultParagraphFont"/>
    <w:rsid w:val="00133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Tchela Louise Solomon</dc:creator>
  <cp:keywords/>
  <dc:description/>
  <cp:lastModifiedBy>Tchela Louise Solomon</cp:lastModifiedBy>
  <cp:revision>1</cp:revision>
  <dcterms:created xsi:type="dcterms:W3CDTF">2021-08-04T15:11:00Z</dcterms:created>
  <dcterms:modified xsi:type="dcterms:W3CDTF">2021-08-04T15:13:00Z</dcterms:modified>
</cp:coreProperties>
</file>