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26D2" w14:textId="77777777" w:rsidR="00637AC3" w:rsidRDefault="00325620" w:rsidP="00637AC3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color w:val="E31837"/>
          <w:sz w:val="28"/>
          <w:szCs w:val="28"/>
          <w:lang w:val="en-CA"/>
        </w:rPr>
      </w:pPr>
      <w:r w:rsidRPr="007E4F29">
        <w:rPr>
          <w:rFonts w:ascii="Arial" w:eastAsia="Times New Roman" w:hAnsi="Arial" w:cs="Times New Roman"/>
          <w:b/>
          <w:caps/>
          <w:color w:val="E31837"/>
          <w:sz w:val="28"/>
          <w:szCs w:val="28"/>
          <w:lang w:val="en-CA"/>
        </w:rPr>
        <w:t xml:space="preserve">job description template </w:t>
      </w:r>
    </w:p>
    <w:p w14:paraId="76C8F3EB" w14:textId="687C3BED" w:rsidR="00440A69" w:rsidRDefault="00325620" w:rsidP="00637AC3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color w:val="E31837"/>
          <w:sz w:val="28"/>
          <w:szCs w:val="28"/>
          <w:lang w:val="en-CA"/>
        </w:rPr>
      </w:pPr>
      <w:r w:rsidRPr="007E4F29">
        <w:rPr>
          <w:rFonts w:ascii="Arial" w:eastAsia="Times New Roman" w:hAnsi="Arial" w:cs="Times New Roman"/>
          <w:b/>
          <w:caps/>
          <w:color w:val="E31837"/>
          <w:sz w:val="28"/>
          <w:szCs w:val="28"/>
          <w:lang w:val="en-CA"/>
        </w:rPr>
        <w:t xml:space="preserve">for a </w:t>
      </w:r>
      <w:r w:rsidR="00015848">
        <w:rPr>
          <w:rFonts w:ascii="Arial" w:eastAsia="Times New Roman" w:hAnsi="Arial" w:cs="Times New Roman"/>
          <w:b/>
          <w:caps/>
          <w:color w:val="E31837"/>
          <w:sz w:val="28"/>
          <w:szCs w:val="28"/>
          <w:lang w:val="en-CA"/>
        </w:rPr>
        <w:t>Research</w:t>
      </w:r>
      <w:r w:rsidRPr="007E4F29">
        <w:rPr>
          <w:rFonts w:ascii="Arial" w:eastAsia="Times New Roman" w:hAnsi="Arial" w:cs="Times New Roman"/>
          <w:b/>
          <w:caps/>
          <w:color w:val="E31837"/>
          <w:sz w:val="28"/>
          <w:szCs w:val="28"/>
          <w:lang w:val="en-CA"/>
        </w:rPr>
        <w:t xml:space="preserve"> visitor at york university</w:t>
      </w:r>
    </w:p>
    <w:p w14:paraId="16426FF7" w14:textId="77777777" w:rsidR="00637AC3" w:rsidRPr="007E4F29" w:rsidRDefault="00637AC3" w:rsidP="00637AC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1"/>
        <w:tblW w:w="9540" w:type="dxa"/>
        <w:tblInd w:w="108" w:type="dxa"/>
        <w:tblLook w:val="04A0" w:firstRow="1" w:lastRow="0" w:firstColumn="1" w:lastColumn="0" w:noHBand="0" w:noVBand="1"/>
      </w:tblPr>
      <w:tblGrid>
        <w:gridCol w:w="2880"/>
        <w:gridCol w:w="6660"/>
      </w:tblGrid>
      <w:tr w:rsidR="00440A69" w:rsidRPr="007A526D" w14:paraId="3686CC9D" w14:textId="77777777" w:rsidTr="009B2445">
        <w:trPr>
          <w:trHeight w:val="262"/>
        </w:trPr>
        <w:tc>
          <w:tcPr>
            <w:tcW w:w="9540" w:type="dxa"/>
            <w:gridSpan w:val="2"/>
            <w:shd w:val="clear" w:color="auto" w:fill="000000" w:themeFill="text1"/>
          </w:tcPr>
          <w:p w14:paraId="0DCE184C" w14:textId="77777777" w:rsidR="00440A69" w:rsidRPr="00DD19D1" w:rsidRDefault="00440A69" w:rsidP="00D22E1B">
            <w:pPr>
              <w:rPr>
                <w:b/>
                <w:sz w:val="20"/>
                <w:szCs w:val="20"/>
              </w:rPr>
            </w:pPr>
            <w:r w:rsidRPr="00DD19D1">
              <w:rPr>
                <w:b/>
                <w:sz w:val="20"/>
                <w:szCs w:val="20"/>
              </w:rPr>
              <w:t>Job Information</w:t>
            </w:r>
          </w:p>
        </w:tc>
      </w:tr>
      <w:tr w:rsidR="00440A69" w:rsidRPr="007A526D" w14:paraId="02E42058" w14:textId="77777777" w:rsidTr="007B0CE9">
        <w:trPr>
          <w:trHeight w:val="274"/>
        </w:trPr>
        <w:tc>
          <w:tcPr>
            <w:tcW w:w="2880" w:type="dxa"/>
          </w:tcPr>
          <w:p w14:paraId="6C6474EE" w14:textId="77777777" w:rsidR="00440A69" w:rsidRPr="00DD19D1" w:rsidRDefault="00440A69" w:rsidP="00D22E1B">
            <w:pPr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Position Title</w:t>
            </w:r>
          </w:p>
        </w:tc>
        <w:tc>
          <w:tcPr>
            <w:tcW w:w="6660" w:type="dxa"/>
          </w:tcPr>
          <w:p w14:paraId="64E6BCC1" w14:textId="16170FD8" w:rsidR="00440A69" w:rsidRPr="00E442DD" w:rsidRDefault="00015848" w:rsidP="000E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  <w:r w:rsidR="00440A69" w:rsidRPr="00E442DD">
              <w:rPr>
                <w:sz w:val="20"/>
                <w:szCs w:val="20"/>
              </w:rPr>
              <w:t xml:space="preserve"> </w:t>
            </w:r>
            <w:r w:rsidR="003C1583">
              <w:rPr>
                <w:sz w:val="20"/>
                <w:szCs w:val="20"/>
              </w:rPr>
              <w:t>Associate</w:t>
            </w:r>
            <w:r w:rsidR="00440A69" w:rsidRPr="00E442DD">
              <w:rPr>
                <w:sz w:val="20"/>
                <w:szCs w:val="20"/>
              </w:rPr>
              <w:t xml:space="preserve"> in</w:t>
            </w:r>
            <w:r w:rsidR="003B1D4E">
              <w:rPr>
                <w:sz w:val="20"/>
                <w:szCs w:val="20"/>
              </w:rPr>
              <w:t xml:space="preserve"> Population</w:t>
            </w:r>
            <w:r w:rsidR="00DA5BEC">
              <w:rPr>
                <w:sz w:val="20"/>
                <w:szCs w:val="20"/>
              </w:rPr>
              <w:t xml:space="preserve"> Health </w:t>
            </w:r>
            <w:r w:rsidR="000E3FDE" w:rsidRPr="00E442DD">
              <w:rPr>
                <w:sz w:val="20"/>
                <w:szCs w:val="20"/>
              </w:rPr>
              <w:t xml:space="preserve">Law </w:t>
            </w:r>
            <w:r w:rsidR="00DA5BEC">
              <w:rPr>
                <w:sz w:val="20"/>
                <w:szCs w:val="20"/>
              </w:rPr>
              <w:t>&amp; Policy</w:t>
            </w:r>
          </w:p>
        </w:tc>
      </w:tr>
      <w:tr w:rsidR="00440A69" w:rsidRPr="007A526D" w14:paraId="4800734A" w14:textId="77777777" w:rsidTr="007B0CE9">
        <w:trPr>
          <w:trHeight w:val="262"/>
        </w:trPr>
        <w:tc>
          <w:tcPr>
            <w:tcW w:w="2880" w:type="dxa"/>
          </w:tcPr>
          <w:p w14:paraId="04B9767C" w14:textId="77777777" w:rsidR="00440A69" w:rsidRPr="00DD19D1" w:rsidRDefault="00440A69" w:rsidP="00D22E1B">
            <w:pPr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Category</w:t>
            </w:r>
          </w:p>
        </w:tc>
        <w:tc>
          <w:tcPr>
            <w:tcW w:w="6660" w:type="dxa"/>
          </w:tcPr>
          <w:p w14:paraId="5A033476" w14:textId="2880C0F9" w:rsidR="00440A69" w:rsidRPr="00E442DD" w:rsidRDefault="00900BB5" w:rsidP="00D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associate</w:t>
            </w:r>
          </w:p>
        </w:tc>
      </w:tr>
      <w:tr w:rsidR="00440A69" w:rsidRPr="007A526D" w14:paraId="50C3633E" w14:textId="77777777" w:rsidTr="007B0CE9">
        <w:trPr>
          <w:trHeight w:val="262"/>
        </w:trPr>
        <w:tc>
          <w:tcPr>
            <w:tcW w:w="2880" w:type="dxa"/>
          </w:tcPr>
          <w:p w14:paraId="5453C608" w14:textId="77777777" w:rsidR="00440A69" w:rsidRPr="00DD19D1" w:rsidRDefault="00DC13D3" w:rsidP="00D22E1B">
            <w:pPr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Supervisor(s)</w:t>
            </w:r>
          </w:p>
        </w:tc>
        <w:tc>
          <w:tcPr>
            <w:tcW w:w="6660" w:type="dxa"/>
          </w:tcPr>
          <w:p w14:paraId="2CE10D2E" w14:textId="0618A52B" w:rsidR="00440A69" w:rsidRPr="00E442DD" w:rsidRDefault="000E3FDE" w:rsidP="000E3FDE">
            <w:pPr>
              <w:rPr>
                <w:sz w:val="20"/>
                <w:szCs w:val="20"/>
              </w:rPr>
            </w:pPr>
            <w:r w:rsidRPr="00E442DD">
              <w:rPr>
                <w:sz w:val="20"/>
                <w:szCs w:val="20"/>
              </w:rPr>
              <w:t>Dr. A</w:t>
            </w:r>
            <w:r w:rsidR="00015848">
              <w:rPr>
                <w:sz w:val="20"/>
                <w:szCs w:val="20"/>
              </w:rPr>
              <w:t>.</w:t>
            </w:r>
            <w:r w:rsidR="000F0597">
              <w:rPr>
                <w:sz w:val="20"/>
                <w:szCs w:val="20"/>
              </w:rPr>
              <w:t xml:space="preserve">M. </w:t>
            </w:r>
            <w:r w:rsidRPr="00E442DD">
              <w:rPr>
                <w:sz w:val="20"/>
                <w:szCs w:val="20"/>
              </w:rPr>
              <w:t>Viens</w:t>
            </w:r>
            <w:r w:rsidR="00A35E93">
              <w:rPr>
                <w:sz w:val="20"/>
                <w:szCs w:val="20"/>
              </w:rPr>
              <w:t xml:space="preserve"> &amp; </w:t>
            </w:r>
            <w:r w:rsidR="00A35E93" w:rsidRPr="00A35E93">
              <w:rPr>
                <w:sz w:val="20"/>
                <w:szCs w:val="20"/>
              </w:rPr>
              <w:t xml:space="preserve">Dr. Mary Wiktorowicz  </w:t>
            </w:r>
          </w:p>
        </w:tc>
      </w:tr>
      <w:tr w:rsidR="00440A69" w:rsidRPr="007A526D" w14:paraId="46D2D28E" w14:textId="77777777" w:rsidTr="007B0CE9">
        <w:trPr>
          <w:trHeight w:val="262"/>
        </w:trPr>
        <w:tc>
          <w:tcPr>
            <w:tcW w:w="2880" w:type="dxa"/>
          </w:tcPr>
          <w:p w14:paraId="72C330F0" w14:textId="77777777" w:rsidR="00440A69" w:rsidRPr="00DD19D1" w:rsidRDefault="00DC13D3" w:rsidP="00D22E1B">
            <w:pPr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Unit</w:t>
            </w:r>
          </w:p>
        </w:tc>
        <w:tc>
          <w:tcPr>
            <w:tcW w:w="6660" w:type="dxa"/>
          </w:tcPr>
          <w:p w14:paraId="45396B36" w14:textId="77777777" w:rsidR="00440A69" w:rsidRPr="00E442DD" w:rsidRDefault="004334F1" w:rsidP="00E442DD">
            <w:pPr>
              <w:rPr>
                <w:sz w:val="20"/>
                <w:szCs w:val="20"/>
              </w:rPr>
            </w:pPr>
            <w:r w:rsidRPr="00E442DD">
              <w:rPr>
                <w:sz w:val="20"/>
                <w:szCs w:val="20"/>
              </w:rPr>
              <w:t>School of Global Health</w:t>
            </w:r>
          </w:p>
        </w:tc>
      </w:tr>
      <w:tr w:rsidR="00440A69" w:rsidRPr="007A526D" w14:paraId="13EE7B91" w14:textId="77777777" w:rsidTr="007B0CE9">
        <w:trPr>
          <w:trHeight w:val="262"/>
        </w:trPr>
        <w:tc>
          <w:tcPr>
            <w:tcW w:w="2880" w:type="dxa"/>
          </w:tcPr>
          <w:p w14:paraId="20E4668F" w14:textId="77777777" w:rsidR="00440A69" w:rsidRPr="00DD19D1" w:rsidRDefault="00440A69" w:rsidP="00D22E1B">
            <w:pPr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Location</w:t>
            </w:r>
          </w:p>
        </w:tc>
        <w:tc>
          <w:tcPr>
            <w:tcW w:w="6660" w:type="dxa"/>
          </w:tcPr>
          <w:p w14:paraId="753F2EAC" w14:textId="6A2F911F" w:rsidR="00440A69" w:rsidRPr="00E442DD" w:rsidRDefault="004334F1" w:rsidP="00D22E1B">
            <w:pPr>
              <w:rPr>
                <w:sz w:val="20"/>
                <w:szCs w:val="20"/>
              </w:rPr>
            </w:pPr>
            <w:r w:rsidRPr="00E442DD">
              <w:rPr>
                <w:sz w:val="20"/>
                <w:szCs w:val="20"/>
              </w:rPr>
              <w:t>Keele Campus, York University</w:t>
            </w:r>
            <w:r w:rsidR="00015848">
              <w:rPr>
                <w:sz w:val="20"/>
                <w:szCs w:val="20"/>
              </w:rPr>
              <w:t xml:space="preserve"> </w:t>
            </w:r>
          </w:p>
        </w:tc>
      </w:tr>
      <w:tr w:rsidR="00440A69" w:rsidRPr="007A526D" w14:paraId="0F522EB4" w14:textId="77777777" w:rsidTr="009B2445">
        <w:trPr>
          <w:trHeight w:val="274"/>
        </w:trPr>
        <w:tc>
          <w:tcPr>
            <w:tcW w:w="9540" w:type="dxa"/>
            <w:gridSpan w:val="2"/>
            <w:shd w:val="clear" w:color="auto" w:fill="000000" w:themeFill="text1"/>
          </w:tcPr>
          <w:p w14:paraId="3F071F8D" w14:textId="77777777" w:rsidR="00440A69" w:rsidRPr="00DD19D1" w:rsidRDefault="00440A69" w:rsidP="00D22E1B">
            <w:pPr>
              <w:rPr>
                <w:sz w:val="20"/>
                <w:szCs w:val="20"/>
              </w:rPr>
            </w:pPr>
            <w:r w:rsidRPr="00DD19D1">
              <w:rPr>
                <w:b/>
                <w:sz w:val="20"/>
                <w:szCs w:val="20"/>
              </w:rPr>
              <w:t>Background</w:t>
            </w:r>
          </w:p>
        </w:tc>
      </w:tr>
      <w:tr w:rsidR="00440A69" w:rsidRPr="007A526D" w14:paraId="370F95FF" w14:textId="77777777" w:rsidTr="0044620C">
        <w:trPr>
          <w:trHeight w:val="1059"/>
        </w:trPr>
        <w:tc>
          <w:tcPr>
            <w:tcW w:w="9540" w:type="dxa"/>
            <w:gridSpan w:val="2"/>
          </w:tcPr>
          <w:p w14:paraId="3997AF4E" w14:textId="2A3BA1D9" w:rsidR="00DA5BEC" w:rsidRDefault="00DA5BEC" w:rsidP="00DA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Antimicrobial resistance (AMR)</w:t>
            </w:r>
            <w:r w:rsidRPr="00DA5BEC">
              <w:rPr>
                <w:sz w:val="20"/>
                <w:szCs w:val="20"/>
              </w:rPr>
              <w:t xml:space="preserve"> is a problem of the global commons, whose resolution depends on coordination of collective global strategy. Addressing the challenges posed by AMR through a One Health approach relies on intersectoral policy coordination </w:t>
            </w:r>
            <w:r>
              <w:rPr>
                <w:sz w:val="20"/>
                <w:szCs w:val="20"/>
              </w:rPr>
              <w:t xml:space="preserve">internationally – </w:t>
            </w:r>
            <w:r w:rsidRPr="00DA5BEC">
              <w:rPr>
                <w:sz w:val="20"/>
                <w:szCs w:val="20"/>
              </w:rPr>
              <w:t>across public health, agricultural, and environmental policy networks</w:t>
            </w:r>
            <w:r>
              <w:rPr>
                <w:sz w:val="20"/>
                <w:szCs w:val="20"/>
              </w:rPr>
              <w:t xml:space="preserve"> – </w:t>
            </w:r>
            <w:r w:rsidRPr="00DA5BEC">
              <w:rPr>
                <w:sz w:val="20"/>
                <w:szCs w:val="20"/>
              </w:rPr>
              <w:t>making stewardship comple</w:t>
            </w:r>
            <w:r>
              <w:rPr>
                <w:sz w:val="20"/>
                <w:szCs w:val="20"/>
              </w:rPr>
              <w:t>x and</w:t>
            </w:r>
            <w:r w:rsidRPr="00DA5BEC">
              <w:rPr>
                <w:sz w:val="20"/>
                <w:szCs w:val="20"/>
              </w:rPr>
              <w:t xml:space="preserve"> necessitating new approaches to </w:t>
            </w:r>
            <w:r>
              <w:rPr>
                <w:sz w:val="20"/>
                <w:szCs w:val="20"/>
              </w:rPr>
              <w:t xml:space="preserve">law and </w:t>
            </w:r>
            <w:r w:rsidRPr="00DA5BEC">
              <w:rPr>
                <w:sz w:val="20"/>
                <w:szCs w:val="20"/>
              </w:rPr>
              <w:t xml:space="preserve">policy development. </w:t>
            </w:r>
          </w:p>
          <w:p w14:paraId="748E309C" w14:textId="5E01BB03" w:rsidR="00DA5BEC" w:rsidRDefault="00DA5BEC" w:rsidP="00DA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research project </w:t>
            </w:r>
            <w:r w:rsidRPr="00DA5BEC">
              <w:rPr>
                <w:sz w:val="20"/>
                <w:szCs w:val="20"/>
              </w:rPr>
              <w:t>seeks to address these issues through a comparative analysis that will identify innovative international policy, legal</w:t>
            </w:r>
            <w:r>
              <w:rPr>
                <w:sz w:val="20"/>
                <w:szCs w:val="20"/>
              </w:rPr>
              <w:t xml:space="preserve">, </w:t>
            </w:r>
            <w:r w:rsidRPr="00DA5BEC">
              <w:rPr>
                <w:sz w:val="20"/>
                <w:szCs w:val="20"/>
              </w:rPr>
              <w:t>and regulatory approaches in high-, medium- and low-income case study countrie</w:t>
            </w:r>
            <w:r>
              <w:rPr>
                <w:sz w:val="20"/>
                <w:szCs w:val="20"/>
              </w:rPr>
              <w:t xml:space="preserve">s taking a </w:t>
            </w:r>
            <w:r w:rsidRPr="00DA5BEC">
              <w:rPr>
                <w:sz w:val="20"/>
                <w:szCs w:val="20"/>
              </w:rPr>
              <w:t xml:space="preserve">One Health approach to </w:t>
            </w:r>
            <w:r>
              <w:rPr>
                <w:sz w:val="20"/>
                <w:szCs w:val="20"/>
              </w:rPr>
              <w:t>antibiotic</w:t>
            </w:r>
            <w:r w:rsidRPr="00DA5BEC">
              <w:rPr>
                <w:sz w:val="20"/>
                <w:szCs w:val="20"/>
              </w:rPr>
              <w:t xml:space="preserve"> stewardship governance and policy</w:t>
            </w:r>
            <w:r>
              <w:rPr>
                <w:sz w:val="20"/>
                <w:szCs w:val="20"/>
              </w:rPr>
              <w:t>.</w:t>
            </w:r>
          </w:p>
          <w:p w14:paraId="2AAD73A4" w14:textId="77777777" w:rsidR="00DA5BEC" w:rsidRDefault="00DA5BEC" w:rsidP="00DA5BEC">
            <w:pPr>
              <w:rPr>
                <w:sz w:val="20"/>
                <w:szCs w:val="20"/>
              </w:rPr>
            </w:pPr>
          </w:p>
          <w:p w14:paraId="34A4F31E" w14:textId="612D4638" w:rsidR="00440A69" w:rsidRPr="00DD19D1" w:rsidRDefault="00DA5BEC" w:rsidP="00DA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position will primarily focus on undertaking a l</w:t>
            </w:r>
            <w:r w:rsidR="004334F1" w:rsidRPr="004334F1">
              <w:rPr>
                <w:sz w:val="20"/>
                <w:szCs w:val="20"/>
              </w:rPr>
              <w:t xml:space="preserve">egal epidemiological analysis to provide </w:t>
            </w:r>
            <w:r>
              <w:rPr>
                <w:sz w:val="20"/>
                <w:szCs w:val="20"/>
              </w:rPr>
              <w:t xml:space="preserve">policy </w:t>
            </w:r>
            <w:r w:rsidR="004334F1" w:rsidRPr="004334F1">
              <w:rPr>
                <w:sz w:val="20"/>
                <w:szCs w:val="20"/>
              </w:rPr>
              <w:t xml:space="preserve">surveillance and mapping of relevant international and national law and policies that have been enacted in relation to </w:t>
            </w:r>
            <w:r>
              <w:rPr>
                <w:sz w:val="20"/>
                <w:szCs w:val="20"/>
              </w:rPr>
              <w:t>antibiotic</w:t>
            </w:r>
            <w:r w:rsidRPr="00DA5BEC">
              <w:rPr>
                <w:sz w:val="20"/>
                <w:szCs w:val="20"/>
              </w:rPr>
              <w:t xml:space="preserve"> stewardship</w:t>
            </w:r>
            <w:r w:rsidR="004334F1" w:rsidRPr="004334F1">
              <w:rPr>
                <w:sz w:val="20"/>
                <w:szCs w:val="20"/>
              </w:rPr>
              <w:t xml:space="preserve">. Legal surveillance and mapping of the different regulatory interventions will allow for the systematic monitoring of the legal landscape in a way that helps to explain and analyze the different decisions, rules, and institutions that shape the governance of </w:t>
            </w:r>
            <w:r>
              <w:rPr>
                <w:sz w:val="20"/>
                <w:szCs w:val="20"/>
              </w:rPr>
              <w:t>antibiotic</w:t>
            </w:r>
            <w:r w:rsidRPr="00DA5BEC">
              <w:rPr>
                <w:sz w:val="20"/>
                <w:szCs w:val="20"/>
              </w:rPr>
              <w:t xml:space="preserve"> stewardship</w:t>
            </w:r>
            <w:r>
              <w:rPr>
                <w:sz w:val="20"/>
                <w:szCs w:val="20"/>
              </w:rPr>
              <w:t xml:space="preserve">. The position will also support an institutional analysis involving key informant interviews of Canadian and transnational stakeholders from </w:t>
            </w:r>
            <w:r w:rsidRPr="00DA5BEC">
              <w:rPr>
                <w:sz w:val="20"/>
                <w:szCs w:val="20"/>
                <w:lang w:val="en-CA"/>
              </w:rPr>
              <w:t>human and animal health, agricultural and environmental governance systems</w:t>
            </w:r>
            <w:r>
              <w:rPr>
                <w:sz w:val="20"/>
                <w:szCs w:val="20"/>
                <w:lang w:val="en-CA"/>
              </w:rPr>
              <w:t xml:space="preserve"> involved in</w:t>
            </w:r>
            <w:r w:rsidRPr="00DA5BEC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antibiotic</w:t>
            </w:r>
            <w:r w:rsidRPr="00DA5BEC">
              <w:rPr>
                <w:sz w:val="20"/>
                <w:szCs w:val="20"/>
                <w:lang w:val="en-CA"/>
              </w:rPr>
              <w:t xml:space="preserve"> stewardship</w:t>
            </w:r>
            <w:r>
              <w:rPr>
                <w:sz w:val="20"/>
                <w:szCs w:val="20"/>
                <w:lang w:val="en-CA"/>
              </w:rPr>
              <w:t>.</w:t>
            </w:r>
          </w:p>
        </w:tc>
      </w:tr>
      <w:tr w:rsidR="00440A69" w:rsidRPr="007A526D" w14:paraId="7948BB7B" w14:textId="77777777" w:rsidTr="009B2445">
        <w:trPr>
          <w:trHeight w:val="262"/>
        </w:trPr>
        <w:tc>
          <w:tcPr>
            <w:tcW w:w="9540" w:type="dxa"/>
            <w:gridSpan w:val="2"/>
            <w:shd w:val="clear" w:color="auto" w:fill="000000" w:themeFill="text1"/>
          </w:tcPr>
          <w:p w14:paraId="6BFA3824" w14:textId="77777777" w:rsidR="00440A69" w:rsidRPr="00DD19D1" w:rsidRDefault="00440A69" w:rsidP="00D22E1B">
            <w:pPr>
              <w:rPr>
                <w:b/>
                <w:sz w:val="20"/>
                <w:szCs w:val="20"/>
              </w:rPr>
            </w:pPr>
            <w:proofErr w:type="gramStart"/>
            <w:r w:rsidRPr="00DD19D1">
              <w:rPr>
                <w:b/>
                <w:sz w:val="20"/>
                <w:szCs w:val="20"/>
              </w:rPr>
              <w:t>Overall</w:t>
            </w:r>
            <w:proofErr w:type="gramEnd"/>
            <w:r w:rsidRPr="00DD19D1">
              <w:rPr>
                <w:b/>
                <w:sz w:val="20"/>
                <w:szCs w:val="20"/>
              </w:rPr>
              <w:t xml:space="preserve"> Purpose of Postdoctoral Position</w:t>
            </w:r>
          </w:p>
        </w:tc>
      </w:tr>
      <w:tr w:rsidR="00440A69" w:rsidRPr="007A526D" w14:paraId="1C816B0D" w14:textId="77777777" w:rsidTr="0044620C">
        <w:trPr>
          <w:trHeight w:val="1333"/>
        </w:trPr>
        <w:tc>
          <w:tcPr>
            <w:tcW w:w="9540" w:type="dxa"/>
            <w:gridSpan w:val="2"/>
          </w:tcPr>
          <w:p w14:paraId="764D4801" w14:textId="44234BD6" w:rsidR="00E442DD" w:rsidRDefault="00E442DD" w:rsidP="004334F1">
            <w:pPr>
              <w:rPr>
                <w:sz w:val="20"/>
                <w:szCs w:val="20"/>
              </w:rPr>
            </w:pPr>
            <w:r w:rsidRPr="00E442DD">
              <w:rPr>
                <w:sz w:val="20"/>
                <w:szCs w:val="20"/>
              </w:rPr>
              <w:t xml:space="preserve">We are looking to appoint a full-time research </w:t>
            </w:r>
            <w:r w:rsidR="003C1583">
              <w:rPr>
                <w:sz w:val="20"/>
                <w:szCs w:val="20"/>
              </w:rPr>
              <w:t>associate</w:t>
            </w:r>
            <w:r w:rsidRPr="00E442DD">
              <w:rPr>
                <w:sz w:val="20"/>
                <w:szCs w:val="20"/>
              </w:rPr>
              <w:t xml:space="preserve"> for 12 months on a </w:t>
            </w:r>
            <w:r w:rsidR="00DA5BEC">
              <w:rPr>
                <w:sz w:val="20"/>
                <w:szCs w:val="20"/>
              </w:rPr>
              <w:t>JPIAMR</w:t>
            </w:r>
            <w:r w:rsidRPr="00E442DD">
              <w:rPr>
                <w:sz w:val="20"/>
                <w:szCs w:val="20"/>
              </w:rPr>
              <w:t xml:space="preserve">-funded project entitled, </w:t>
            </w:r>
            <w:r w:rsidR="00DA5BEC" w:rsidRPr="00DA5BEC">
              <w:rPr>
                <w:sz w:val="20"/>
                <w:szCs w:val="20"/>
              </w:rPr>
              <w:t>Designing One Health Governance for Antimicrobial Stewardship Interventions (DESIGN)</w:t>
            </w:r>
            <w:r w:rsidR="00DA5BEC">
              <w:rPr>
                <w:sz w:val="20"/>
                <w:szCs w:val="20"/>
              </w:rPr>
              <w:t xml:space="preserve">. </w:t>
            </w:r>
            <w:r w:rsidRPr="00E442DD">
              <w:rPr>
                <w:sz w:val="20"/>
                <w:szCs w:val="20"/>
              </w:rPr>
              <w:t xml:space="preserve">The </w:t>
            </w:r>
            <w:r w:rsidR="003C1583">
              <w:rPr>
                <w:sz w:val="20"/>
                <w:szCs w:val="20"/>
              </w:rPr>
              <w:t>position</w:t>
            </w:r>
            <w:r w:rsidRPr="00E442DD">
              <w:rPr>
                <w:sz w:val="20"/>
                <w:szCs w:val="20"/>
              </w:rPr>
              <w:t xml:space="preserve"> will provide an opportunity for an exceptional candidate to conduct research in </w:t>
            </w:r>
            <w:r w:rsidR="00DA5BEC">
              <w:rPr>
                <w:sz w:val="20"/>
                <w:szCs w:val="20"/>
              </w:rPr>
              <w:t>population health</w:t>
            </w:r>
            <w:r w:rsidR="00DA5BEC" w:rsidRPr="00DA5BEC">
              <w:rPr>
                <w:sz w:val="20"/>
                <w:szCs w:val="20"/>
              </w:rPr>
              <w:t xml:space="preserve"> (i.e., public health and/or global health)</w:t>
            </w:r>
            <w:r w:rsidRPr="00E442DD">
              <w:rPr>
                <w:sz w:val="20"/>
                <w:szCs w:val="20"/>
              </w:rPr>
              <w:t xml:space="preserve"> law and </w:t>
            </w:r>
            <w:r w:rsidR="00DA5BEC">
              <w:rPr>
                <w:sz w:val="20"/>
                <w:szCs w:val="20"/>
              </w:rPr>
              <w:t>policy.</w:t>
            </w:r>
          </w:p>
          <w:p w14:paraId="04504448" w14:textId="16583CF3" w:rsidR="00DA5BEC" w:rsidRDefault="00DA5BEC" w:rsidP="004334F1">
            <w:pPr>
              <w:rPr>
                <w:sz w:val="20"/>
                <w:szCs w:val="20"/>
              </w:rPr>
            </w:pPr>
          </w:p>
          <w:p w14:paraId="2E415C5F" w14:textId="74299804" w:rsidR="00F8182D" w:rsidRPr="00DA5BEC" w:rsidRDefault="00DA5BEC" w:rsidP="00F8182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research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C1583">
              <w:rPr>
                <w:rFonts w:ascii="Calibri" w:eastAsia="Times New Roman" w:hAnsi="Calibri" w:cs="Calibri"/>
                <w:sz w:val="20"/>
                <w:szCs w:val="20"/>
              </w:rPr>
              <w:t>associate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 will report to and work with </w:t>
            </w:r>
            <w:hyperlink r:id="rId7" w:history="1">
              <w:r w:rsidRPr="00DA5BE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Dr. A.M. Viens</w:t>
              </w:r>
            </w:hyperlink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 (School of Global Health), as well as work collaboratively with </w:t>
            </w:r>
            <w:hyperlink r:id="rId8" w:history="1">
              <w:r w:rsidRPr="00DA5BE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Dr. Mary Wiktorowicz</w:t>
              </w:r>
            </w:hyperlink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 (School of Global Health and Dahdaleh Institute for Global Health Research) and other international research team members on the DESIGN project. It is envisioned that 75-80% of the time will be spent working on the legal analysis component of the project and 20-25% of the time will be spend working on the comparative institutional analysis component of the project.</w:t>
            </w:r>
          </w:p>
        </w:tc>
      </w:tr>
      <w:tr w:rsidR="00440A69" w:rsidRPr="007A526D" w14:paraId="605BB38A" w14:textId="77777777" w:rsidTr="009B2445">
        <w:trPr>
          <w:trHeight w:val="262"/>
        </w:trPr>
        <w:tc>
          <w:tcPr>
            <w:tcW w:w="9540" w:type="dxa"/>
            <w:gridSpan w:val="2"/>
            <w:shd w:val="clear" w:color="auto" w:fill="000000" w:themeFill="text1"/>
          </w:tcPr>
          <w:p w14:paraId="2BF49097" w14:textId="77777777" w:rsidR="00440A69" w:rsidRPr="00DD19D1" w:rsidRDefault="009B2445" w:rsidP="00D22E1B">
            <w:pPr>
              <w:rPr>
                <w:b/>
                <w:sz w:val="20"/>
                <w:szCs w:val="20"/>
              </w:rPr>
            </w:pPr>
            <w:r w:rsidRPr="00DD19D1">
              <w:rPr>
                <w:b/>
                <w:sz w:val="20"/>
                <w:szCs w:val="20"/>
              </w:rPr>
              <w:t>Key Responsibilities</w:t>
            </w:r>
          </w:p>
        </w:tc>
      </w:tr>
      <w:tr w:rsidR="00440A69" w:rsidRPr="007A526D" w14:paraId="5C5C4C6A" w14:textId="77777777" w:rsidTr="0044620C">
        <w:trPr>
          <w:trHeight w:val="927"/>
        </w:trPr>
        <w:tc>
          <w:tcPr>
            <w:tcW w:w="9540" w:type="dxa"/>
            <w:gridSpan w:val="2"/>
          </w:tcPr>
          <w:p w14:paraId="36F9BE0C" w14:textId="2C418B97" w:rsidR="00DA5BEC" w:rsidRPr="00DA5BEC" w:rsidRDefault="00DA5BEC" w:rsidP="00DA5BEC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Legal and policy research related to antimicrobial stewardship, with a particular emphasis on collecting, cataloguing, tracking,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coding, 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>and analyzing impact of international</w:t>
            </w:r>
            <w:r w:rsidR="003B1D4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and national laws and policies linked to the </w:t>
            </w:r>
            <w:r w:rsidR="003B1D4E">
              <w:rPr>
                <w:rFonts w:ascii="Calibri" w:eastAsia="Times New Roman" w:hAnsi="Calibri" w:cs="Calibri"/>
                <w:sz w:val="20"/>
                <w:szCs w:val="20"/>
              </w:rPr>
              <w:t>stewardship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 of antimicrobials</w:t>
            </w:r>
          </w:p>
          <w:p w14:paraId="25FCA5D5" w14:textId="77777777" w:rsidR="00DA5BEC" w:rsidRPr="00DA5BEC" w:rsidRDefault="00DA5BEC" w:rsidP="00DA5BEC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>Conducting formal academic and grey literature searches</w:t>
            </w:r>
          </w:p>
          <w:p w14:paraId="68729D31" w14:textId="755C88CA" w:rsidR="00DA5BEC" w:rsidRPr="00DA5BEC" w:rsidRDefault="00DA5BEC" w:rsidP="00DA5BEC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Assisting in conducting </w:t>
            </w:r>
            <w:r w:rsidR="00156C2F">
              <w:rPr>
                <w:rFonts w:ascii="Calibri" w:eastAsia="Times New Roman" w:hAnsi="Calibri" w:cs="Calibri"/>
                <w:sz w:val="20"/>
                <w:szCs w:val="20"/>
              </w:rPr>
              <w:t xml:space="preserve">and </w:t>
            </w:r>
            <w:r w:rsidR="00857B15">
              <w:rPr>
                <w:rFonts w:ascii="Calibri" w:eastAsia="Times New Roman" w:hAnsi="Calibri" w:cs="Calibri"/>
                <w:sz w:val="20"/>
                <w:szCs w:val="20"/>
              </w:rPr>
              <w:t>analyzing</w:t>
            </w:r>
            <w:r w:rsidR="00156C2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>key informant interviews</w:t>
            </w:r>
          </w:p>
          <w:p w14:paraId="10053F37" w14:textId="0E1A9C75" w:rsidR="00DA5BEC" w:rsidRPr="00DA5BEC" w:rsidRDefault="00DA5BEC" w:rsidP="00DA5BEC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Contributing to and c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>o-authoring peer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>reviewed journal articles, book chapters, and/or policy briefs</w:t>
            </w:r>
          </w:p>
          <w:p w14:paraId="015DE6F9" w14:textId="598ECD31" w:rsidR="00DA5BEC" w:rsidRPr="00DA5BEC" w:rsidRDefault="00DA5BEC" w:rsidP="00DA5BEC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Providing some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project management, 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>administrative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 and logistical support for project initiatives</w:t>
            </w:r>
          </w:p>
          <w:p w14:paraId="3903A84C" w14:textId="5DB66B12" w:rsidR="00DA5BEC" w:rsidRPr="00DA5BEC" w:rsidRDefault="00015848" w:rsidP="00DA5BE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DA5BEC">
              <w:rPr>
                <w:rFonts w:ascii="Calibri" w:hAnsi="Calibri" w:cs="Calibri"/>
                <w:sz w:val="20"/>
                <w:szCs w:val="20"/>
              </w:rPr>
              <w:t>Other duties as required</w:t>
            </w:r>
            <w:r w:rsidR="00DA5BEC">
              <w:rPr>
                <w:rFonts w:ascii="Calibri" w:hAnsi="Calibri" w:cs="Calibri"/>
                <w:sz w:val="20"/>
                <w:szCs w:val="20"/>
              </w:rPr>
              <w:t xml:space="preserve"> (e.g., supporting knowledge mobilization activities, supervision of project research assistants)</w:t>
            </w:r>
          </w:p>
        </w:tc>
      </w:tr>
      <w:tr w:rsidR="00440A69" w:rsidRPr="007A526D" w14:paraId="18EE7300" w14:textId="77777777" w:rsidTr="009B2445">
        <w:trPr>
          <w:trHeight w:val="262"/>
        </w:trPr>
        <w:tc>
          <w:tcPr>
            <w:tcW w:w="9540" w:type="dxa"/>
            <w:gridSpan w:val="2"/>
            <w:shd w:val="clear" w:color="auto" w:fill="000000" w:themeFill="text1"/>
          </w:tcPr>
          <w:p w14:paraId="5BEC726C" w14:textId="77777777" w:rsidR="00440A69" w:rsidRPr="00DD19D1" w:rsidRDefault="00440A69" w:rsidP="00D22E1B">
            <w:pPr>
              <w:rPr>
                <w:b/>
                <w:sz w:val="20"/>
                <w:szCs w:val="20"/>
              </w:rPr>
            </w:pPr>
            <w:r w:rsidRPr="00DD19D1">
              <w:rPr>
                <w:b/>
                <w:sz w:val="20"/>
                <w:szCs w:val="20"/>
              </w:rPr>
              <w:t>Skills and Qualifications</w:t>
            </w:r>
          </w:p>
        </w:tc>
      </w:tr>
      <w:tr w:rsidR="00440A69" w:rsidRPr="007A526D" w14:paraId="561902C4" w14:textId="77777777" w:rsidTr="007B0CE9">
        <w:trPr>
          <w:trHeight w:val="262"/>
        </w:trPr>
        <w:tc>
          <w:tcPr>
            <w:tcW w:w="2880" w:type="dxa"/>
          </w:tcPr>
          <w:p w14:paraId="0EBE91B5" w14:textId="77777777" w:rsidR="00440A69" w:rsidRPr="00126BDA" w:rsidRDefault="00EF630D" w:rsidP="00D22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Qualifications</w:t>
            </w:r>
          </w:p>
        </w:tc>
        <w:tc>
          <w:tcPr>
            <w:tcW w:w="6660" w:type="dxa"/>
          </w:tcPr>
          <w:p w14:paraId="3FE883E7" w14:textId="2515E25F" w:rsidR="00440A69" w:rsidRPr="00126BDA" w:rsidRDefault="00126BDA" w:rsidP="00D22E1B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Applicants </w:t>
            </w:r>
            <w:r w:rsidRPr="00126BDA">
              <w:rPr>
                <w:rFonts w:eastAsia="Times New Roman" w:cs="Arial"/>
                <w:sz w:val="20"/>
                <w:szCs w:val="20"/>
              </w:rPr>
              <w:t>must have completed all requirements for a</w:t>
            </w:r>
            <w:r w:rsidR="00900BB5">
              <w:rPr>
                <w:rFonts w:eastAsia="Times New Roman" w:cs="Arial"/>
                <w:sz w:val="20"/>
                <w:szCs w:val="20"/>
              </w:rPr>
              <w:t>n LLB/JD, LLM or</w:t>
            </w:r>
            <w:r w:rsidRPr="00126BDA">
              <w:rPr>
                <w:rFonts w:eastAsia="Times New Roman" w:cs="Arial"/>
                <w:sz w:val="20"/>
                <w:szCs w:val="20"/>
              </w:rPr>
              <w:t xml:space="preserve"> PhD</w:t>
            </w:r>
            <w:r w:rsidR="00900BB5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AD1272">
              <w:rPr>
                <w:rFonts w:eastAsia="Times New Roman" w:cs="Arial"/>
                <w:sz w:val="20"/>
                <w:szCs w:val="20"/>
              </w:rPr>
              <w:t xml:space="preserve">or </w:t>
            </w:r>
            <w:r w:rsidR="00900BB5">
              <w:rPr>
                <w:rFonts w:eastAsia="Times New Roman" w:cs="Arial"/>
                <w:sz w:val="20"/>
                <w:szCs w:val="20"/>
              </w:rPr>
              <w:t>be currently enrolled in a PhD program</w:t>
            </w:r>
            <w:r w:rsidRPr="00126BDA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440A69" w:rsidRPr="007A526D" w14:paraId="7C1BFB00" w14:textId="77777777" w:rsidTr="007B0CE9">
        <w:trPr>
          <w:trHeight w:val="536"/>
        </w:trPr>
        <w:tc>
          <w:tcPr>
            <w:tcW w:w="2880" w:type="dxa"/>
          </w:tcPr>
          <w:p w14:paraId="188C0ED8" w14:textId="77777777" w:rsidR="00EF630D" w:rsidRDefault="00440A69" w:rsidP="00D22E1B">
            <w:pPr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lastRenderedPageBreak/>
              <w:t>Training/Experience Required</w:t>
            </w:r>
          </w:p>
          <w:p w14:paraId="50222EB0" w14:textId="77777777" w:rsidR="00440A69" w:rsidRPr="00DD19D1" w:rsidRDefault="00440A69" w:rsidP="00EC2D37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4A65F4F2" w14:textId="326ED40D" w:rsidR="00EC2D37" w:rsidRPr="00DA5BEC" w:rsidRDefault="00EC2D37" w:rsidP="00DA5BEC">
            <w:pPr>
              <w:rPr>
                <w:sz w:val="20"/>
                <w:szCs w:val="20"/>
                <w:u w:val="single"/>
              </w:rPr>
            </w:pPr>
            <w:r w:rsidRPr="00DA5BEC">
              <w:rPr>
                <w:sz w:val="20"/>
                <w:szCs w:val="20"/>
                <w:u w:val="single"/>
              </w:rPr>
              <w:t>Essential</w:t>
            </w:r>
          </w:p>
          <w:p w14:paraId="34D249D8" w14:textId="77777777" w:rsidR="00DA5BEC" w:rsidRP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DA5BEC">
              <w:rPr>
                <w:sz w:val="20"/>
                <w:szCs w:val="20"/>
              </w:rPr>
              <w:t>Strong legal research skills, experience with using legal research tools/platforms, and knowledge of legal systems and legal/policy instruments</w:t>
            </w:r>
          </w:p>
          <w:p w14:paraId="61352D1A" w14:textId="77777777" w:rsidR="00DA5BEC" w:rsidRP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DA5BEC">
              <w:rPr>
                <w:sz w:val="20"/>
                <w:szCs w:val="20"/>
              </w:rPr>
              <w:t>Strong organizational skills, with the ability to work with attention to detail and to handle/prioritize multiple tasks</w:t>
            </w:r>
          </w:p>
          <w:p w14:paraId="5010294B" w14:textId="77777777" w:rsidR="00DA5BEC" w:rsidRP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DA5BEC">
              <w:rPr>
                <w:sz w:val="20"/>
                <w:szCs w:val="20"/>
              </w:rPr>
              <w:t>Capable of contributing to a team, yet also able to work independently with modest supervision</w:t>
            </w:r>
          </w:p>
          <w:p w14:paraId="170D13D7" w14:textId="77777777" w:rsidR="00DA5BEC" w:rsidRP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DA5BEC">
              <w:rPr>
                <w:sz w:val="20"/>
                <w:szCs w:val="20"/>
              </w:rPr>
              <w:t>Good writer and interest in writing and refining materials for a variety of audiences</w:t>
            </w:r>
          </w:p>
          <w:p w14:paraId="6BBEE0AA" w14:textId="6A6BD972" w:rsid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DA5BEC">
              <w:rPr>
                <w:sz w:val="20"/>
                <w:szCs w:val="20"/>
              </w:rPr>
              <w:t>Excellent interpersonal and communication skills</w:t>
            </w:r>
          </w:p>
          <w:p w14:paraId="14BDD77E" w14:textId="298A9A3F" w:rsidR="00DA5BEC" w:rsidRP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B029C1">
              <w:rPr>
                <w:sz w:val="20"/>
                <w:szCs w:val="20"/>
              </w:rPr>
              <w:t>LLB/JD</w:t>
            </w:r>
            <w:r>
              <w:rPr>
                <w:sz w:val="20"/>
                <w:szCs w:val="20"/>
              </w:rPr>
              <w:t xml:space="preserve">, </w:t>
            </w:r>
            <w:r w:rsidRPr="00B029C1">
              <w:rPr>
                <w:sz w:val="20"/>
                <w:szCs w:val="20"/>
              </w:rPr>
              <w:t>LLM, and/or PhD in law</w:t>
            </w:r>
            <w:r>
              <w:rPr>
                <w:sz w:val="20"/>
                <w:szCs w:val="20"/>
              </w:rPr>
              <w:t xml:space="preserve"> </w:t>
            </w:r>
            <w:r w:rsidRPr="00DA5BEC">
              <w:rPr>
                <w:sz w:val="20"/>
                <w:szCs w:val="20"/>
              </w:rPr>
              <w:t xml:space="preserve">preferred </w:t>
            </w:r>
            <w:r w:rsidRPr="00DA5BEC">
              <w:rPr>
                <w:sz w:val="20"/>
                <w:szCs w:val="20"/>
                <w:u w:val="single"/>
              </w:rPr>
              <w:t>or</w:t>
            </w:r>
            <w:r w:rsidRPr="00DA5BEC">
              <w:rPr>
                <w:sz w:val="20"/>
                <w:szCs w:val="20"/>
              </w:rPr>
              <w:t xml:space="preserve"> extensive public health/global health policy experience with legal instruments – particularly areas such as health law and international law</w:t>
            </w:r>
            <w:r w:rsidR="003B1D4E">
              <w:rPr>
                <w:sz w:val="20"/>
                <w:szCs w:val="20"/>
              </w:rPr>
              <w:t xml:space="preserve"> instruments </w:t>
            </w:r>
          </w:p>
          <w:p w14:paraId="2EC02DA0" w14:textId="77777777" w:rsidR="00EC2D37" w:rsidRPr="00DA5BEC" w:rsidRDefault="00EC2D37" w:rsidP="00DA5BEC">
            <w:pPr>
              <w:rPr>
                <w:sz w:val="20"/>
                <w:szCs w:val="20"/>
              </w:rPr>
            </w:pPr>
          </w:p>
          <w:p w14:paraId="1DA31CC8" w14:textId="7E4B665E" w:rsidR="00EC2D37" w:rsidRPr="00DA5BEC" w:rsidRDefault="00EC2D37" w:rsidP="00DA5BEC">
            <w:pPr>
              <w:ind w:left="56"/>
              <w:rPr>
                <w:sz w:val="20"/>
                <w:szCs w:val="20"/>
                <w:u w:val="single"/>
              </w:rPr>
            </w:pPr>
            <w:r w:rsidRPr="00DA5BEC">
              <w:rPr>
                <w:sz w:val="20"/>
                <w:szCs w:val="20"/>
                <w:u w:val="single"/>
              </w:rPr>
              <w:t>Desirable</w:t>
            </w:r>
          </w:p>
          <w:p w14:paraId="610DC318" w14:textId="285CB0AF" w:rsid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interviewing research subjects</w:t>
            </w:r>
          </w:p>
          <w:p w14:paraId="67A217D6" w14:textId="18CB1CDB" w:rsid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DA5BEC">
              <w:rPr>
                <w:sz w:val="20"/>
                <w:szCs w:val="20"/>
              </w:rPr>
              <w:t xml:space="preserve">Experience using qualitative software to </w:t>
            </w:r>
            <w:r w:rsidR="003B1D4E" w:rsidRPr="00DA5BEC">
              <w:rPr>
                <w:sz w:val="20"/>
                <w:szCs w:val="20"/>
              </w:rPr>
              <w:t>analyze</w:t>
            </w:r>
            <w:r w:rsidRPr="00DA5BEC">
              <w:rPr>
                <w:sz w:val="20"/>
                <w:szCs w:val="20"/>
              </w:rPr>
              <w:t xml:space="preserve"> interview transcripts</w:t>
            </w:r>
          </w:p>
          <w:p w14:paraId="14D02226" w14:textId="10C95B4E" w:rsidR="00DA5BEC" w:rsidRP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B029C1">
              <w:rPr>
                <w:sz w:val="20"/>
                <w:szCs w:val="20"/>
              </w:rPr>
              <w:t>Experience working in multidisciplinar</w:t>
            </w:r>
            <w:r w:rsidR="003B1D4E">
              <w:rPr>
                <w:sz w:val="20"/>
                <w:szCs w:val="20"/>
              </w:rPr>
              <w:t>y/</w:t>
            </w:r>
            <w:r w:rsidR="003B1D4E" w:rsidRPr="00DA5BEC">
              <w:rPr>
                <w:sz w:val="20"/>
                <w:szCs w:val="20"/>
              </w:rPr>
              <w:t>interdisciplinary</w:t>
            </w:r>
            <w:r w:rsidRPr="00B029C1">
              <w:rPr>
                <w:sz w:val="20"/>
                <w:szCs w:val="20"/>
              </w:rPr>
              <w:t xml:space="preserve"> environment</w:t>
            </w:r>
            <w:r w:rsidR="003B1D4E">
              <w:rPr>
                <w:sz w:val="20"/>
                <w:szCs w:val="20"/>
              </w:rPr>
              <w:t xml:space="preserve"> </w:t>
            </w:r>
          </w:p>
          <w:p w14:paraId="2DA32A7F" w14:textId="7C24FA3D" w:rsidR="00DA5BEC" w:rsidRPr="00DA5BEC" w:rsidRDefault="00DA5BEC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B029C1">
              <w:rPr>
                <w:sz w:val="20"/>
                <w:szCs w:val="20"/>
              </w:rPr>
              <w:t>Familiarity with global and/or public health</w:t>
            </w:r>
            <w:r>
              <w:rPr>
                <w:sz w:val="20"/>
                <w:szCs w:val="20"/>
              </w:rPr>
              <w:t>, especially antimicrobial resistance</w:t>
            </w:r>
          </w:p>
          <w:p w14:paraId="530B85E1" w14:textId="2469B6BB" w:rsidR="00440A69" w:rsidRPr="00DA5BEC" w:rsidRDefault="00EC2D37" w:rsidP="00DA5BEC">
            <w:pPr>
              <w:pStyle w:val="ListParagraph"/>
              <w:numPr>
                <w:ilvl w:val="0"/>
                <w:numId w:val="7"/>
              </w:numPr>
              <w:ind w:left="416"/>
              <w:rPr>
                <w:sz w:val="20"/>
                <w:szCs w:val="20"/>
              </w:rPr>
            </w:pPr>
            <w:r w:rsidRPr="00B029C1">
              <w:rPr>
                <w:sz w:val="20"/>
                <w:szCs w:val="20"/>
              </w:rPr>
              <w:t xml:space="preserve">Familiarity with legal epidemiology (and any related software, such as </w:t>
            </w:r>
            <w:proofErr w:type="spellStart"/>
            <w:r w:rsidRPr="00B029C1">
              <w:rPr>
                <w:sz w:val="20"/>
                <w:szCs w:val="20"/>
              </w:rPr>
              <w:t>MonQcle</w:t>
            </w:r>
            <w:proofErr w:type="spellEnd"/>
            <w:r w:rsidRPr="00B029C1">
              <w:rPr>
                <w:sz w:val="20"/>
                <w:szCs w:val="20"/>
              </w:rPr>
              <w:t>)</w:t>
            </w:r>
          </w:p>
        </w:tc>
      </w:tr>
      <w:tr w:rsidR="00440A69" w:rsidRPr="007A526D" w14:paraId="3C178F6F" w14:textId="77777777" w:rsidTr="009B2445">
        <w:trPr>
          <w:trHeight w:val="356"/>
        </w:trPr>
        <w:tc>
          <w:tcPr>
            <w:tcW w:w="9540" w:type="dxa"/>
            <w:gridSpan w:val="2"/>
            <w:shd w:val="clear" w:color="auto" w:fill="000000" w:themeFill="text1"/>
          </w:tcPr>
          <w:p w14:paraId="58792F47" w14:textId="77777777" w:rsidR="00440A69" w:rsidRPr="00DD19D1" w:rsidRDefault="00440A69" w:rsidP="00325620">
            <w:pPr>
              <w:contextualSpacing/>
              <w:rPr>
                <w:b/>
                <w:sz w:val="20"/>
                <w:szCs w:val="20"/>
              </w:rPr>
            </w:pPr>
            <w:r w:rsidRPr="00DD19D1">
              <w:rPr>
                <w:b/>
                <w:sz w:val="20"/>
                <w:szCs w:val="20"/>
              </w:rPr>
              <w:t xml:space="preserve">Terms </w:t>
            </w:r>
            <w:r w:rsidR="009B2445" w:rsidRPr="00DD19D1">
              <w:rPr>
                <w:b/>
                <w:sz w:val="20"/>
                <w:szCs w:val="20"/>
              </w:rPr>
              <w:t>and Conditions</w:t>
            </w:r>
          </w:p>
        </w:tc>
      </w:tr>
      <w:tr w:rsidR="00440A69" w:rsidRPr="007A526D" w14:paraId="25620E5F" w14:textId="77777777" w:rsidTr="0044620C">
        <w:trPr>
          <w:trHeight w:val="485"/>
        </w:trPr>
        <w:tc>
          <w:tcPr>
            <w:tcW w:w="9540" w:type="dxa"/>
            <w:gridSpan w:val="2"/>
          </w:tcPr>
          <w:p w14:paraId="70EF667C" w14:textId="24018D91" w:rsidR="00DA5BEC" w:rsidRDefault="00440A69" w:rsidP="00F8182D">
            <w:pPr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>Th</w:t>
            </w:r>
            <w:r w:rsidR="003B1D4E">
              <w:rPr>
                <w:sz w:val="20"/>
                <w:szCs w:val="20"/>
              </w:rPr>
              <w:t>e</w:t>
            </w:r>
            <w:r w:rsidRPr="00DD19D1">
              <w:rPr>
                <w:sz w:val="20"/>
                <w:szCs w:val="20"/>
              </w:rPr>
              <w:t xml:space="preserve"> </w:t>
            </w:r>
            <w:r w:rsidR="00015848">
              <w:rPr>
                <w:sz w:val="20"/>
                <w:szCs w:val="20"/>
              </w:rPr>
              <w:t xml:space="preserve">research </w:t>
            </w:r>
            <w:r w:rsidR="003C1583">
              <w:rPr>
                <w:sz w:val="20"/>
                <w:szCs w:val="20"/>
              </w:rPr>
              <w:t>associate</w:t>
            </w:r>
            <w:r w:rsidRPr="00DD19D1">
              <w:rPr>
                <w:sz w:val="20"/>
                <w:szCs w:val="20"/>
              </w:rPr>
              <w:t xml:space="preserve"> position based </w:t>
            </w:r>
            <w:r w:rsidR="00DA5BEC">
              <w:rPr>
                <w:sz w:val="20"/>
                <w:szCs w:val="20"/>
              </w:rPr>
              <w:t xml:space="preserve">at York University in Toronto, within the </w:t>
            </w:r>
            <w:hyperlink r:id="rId9" w:history="1">
              <w:r w:rsidR="00DA5BEC" w:rsidRPr="00DA5BE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School of Global Health</w:t>
              </w:r>
            </w:hyperlink>
            <w:r w:rsidR="00DA5BEC" w:rsidRPr="00DA5BEC">
              <w:rPr>
                <w:rFonts w:ascii="Calibri" w:eastAsia="Times New Roman" w:hAnsi="Calibri" w:cs="Calibri"/>
                <w:sz w:val="20"/>
                <w:szCs w:val="20"/>
              </w:rPr>
              <w:t xml:space="preserve"> and </w:t>
            </w:r>
            <w:hyperlink r:id="rId10" w:history="1">
              <w:r w:rsidR="00DA5BEC" w:rsidRPr="00DA5BEC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Dahdaleh Institute for Global Health Research</w:t>
              </w:r>
            </w:hyperlink>
            <w:r w:rsidR="00DA5BEC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2A431C61" w14:textId="77777777" w:rsidR="00DA5BEC" w:rsidRDefault="00DA5BEC" w:rsidP="00F8182D">
            <w:pPr>
              <w:rPr>
                <w:sz w:val="20"/>
                <w:szCs w:val="20"/>
              </w:rPr>
            </w:pPr>
          </w:p>
          <w:p w14:paraId="55F7FAEC" w14:textId="5A024E98" w:rsidR="00DA5BEC" w:rsidRPr="00DD19D1" w:rsidRDefault="00EC2D37" w:rsidP="00DA5BEC">
            <w:pPr>
              <w:rPr>
                <w:sz w:val="20"/>
                <w:szCs w:val="20"/>
              </w:rPr>
            </w:pPr>
            <w:r w:rsidRPr="00E442DD">
              <w:rPr>
                <w:sz w:val="20"/>
                <w:szCs w:val="20"/>
              </w:rPr>
              <w:t>Salary will be commensurate with qualifications and experience.</w:t>
            </w:r>
          </w:p>
        </w:tc>
      </w:tr>
      <w:tr w:rsidR="00440A69" w:rsidRPr="007A526D" w14:paraId="2627114C" w14:textId="77777777" w:rsidTr="009B2445">
        <w:trPr>
          <w:trHeight w:val="262"/>
        </w:trPr>
        <w:tc>
          <w:tcPr>
            <w:tcW w:w="9540" w:type="dxa"/>
            <w:gridSpan w:val="2"/>
            <w:shd w:val="clear" w:color="auto" w:fill="000000" w:themeFill="text1"/>
          </w:tcPr>
          <w:p w14:paraId="3DCE15CC" w14:textId="77777777" w:rsidR="00440A69" w:rsidRPr="00DD19D1" w:rsidRDefault="00440A69" w:rsidP="00D22E1B">
            <w:pPr>
              <w:rPr>
                <w:b/>
                <w:sz w:val="20"/>
                <w:szCs w:val="20"/>
              </w:rPr>
            </w:pPr>
            <w:r w:rsidRPr="00DD19D1">
              <w:rPr>
                <w:b/>
                <w:sz w:val="20"/>
                <w:szCs w:val="20"/>
              </w:rPr>
              <w:t>How to Apply</w:t>
            </w:r>
          </w:p>
        </w:tc>
      </w:tr>
      <w:tr w:rsidR="00440A69" w:rsidRPr="007A526D" w14:paraId="713F892E" w14:textId="77777777" w:rsidTr="0044620C">
        <w:trPr>
          <w:trHeight w:val="2166"/>
        </w:trPr>
        <w:tc>
          <w:tcPr>
            <w:tcW w:w="9540" w:type="dxa"/>
            <w:gridSpan w:val="2"/>
          </w:tcPr>
          <w:p w14:paraId="43CF5073" w14:textId="77777777" w:rsidR="00275D32" w:rsidRDefault="00440A69" w:rsidP="00D22E1B">
            <w:pPr>
              <w:rPr>
                <w:sz w:val="20"/>
                <w:szCs w:val="20"/>
              </w:rPr>
            </w:pPr>
            <w:r w:rsidRPr="00DD19D1">
              <w:rPr>
                <w:sz w:val="20"/>
                <w:szCs w:val="20"/>
              </w:rPr>
              <w:t xml:space="preserve">To apply for this position, please submit the following documents: </w:t>
            </w:r>
          </w:p>
          <w:p w14:paraId="034E1C54" w14:textId="77777777" w:rsidR="00275D32" w:rsidRDefault="00275D32" w:rsidP="00275D32">
            <w:pPr>
              <w:pStyle w:val="ListParagraph"/>
              <w:numPr>
                <w:ilvl w:val="0"/>
                <w:numId w:val="5"/>
              </w:numPr>
              <w:ind w:left="74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75D32">
              <w:rPr>
                <w:sz w:val="20"/>
                <w:szCs w:val="20"/>
              </w:rPr>
              <w:t xml:space="preserve"> detailed cover letter explaining your suitability for the </w:t>
            </w:r>
            <w:proofErr w:type="gramStart"/>
            <w:r w:rsidRPr="00275D32">
              <w:rPr>
                <w:sz w:val="20"/>
                <w:szCs w:val="20"/>
              </w:rPr>
              <w:t>posit</w:t>
            </w:r>
            <w:r>
              <w:rPr>
                <w:sz w:val="20"/>
                <w:szCs w:val="20"/>
              </w:rPr>
              <w:t>ion;</w:t>
            </w:r>
            <w:proofErr w:type="gramEnd"/>
            <w:r w:rsidRPr="00275D32">
              <w:rPr>
                <w:sz w:val="20"/>
                <w:szCs w:val="20"/>
              </w:rPr>
              <w:t xml:space="preserve"> </w:t>
            </w:r>
          </w:p>
          <w:p w14:paraId="66A1801B" w14:textId="77777777" w:rsidR="00275D32" w:rsidRDefault="00275D32" w:rsidP="00275D32">
            <w:pPr>
              <w:pStyle w:val="ListParagraph"/>
              <w:numPr>
                <w:ilvl w:val="0"/>
                <w:numId w:val="5"/>
              </w:numPr>
              <w:ind w:left="74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updated </w:t>
            </w:r>
            <w:proofErr w:type="gramStart"/>
            <w:r>
              <w:rPr>
                <w:sz w:val="20"/>
                <w:szCs w:val="20"/>
              </w:rPr>
              <w:t>CV;</w:t>
            </w:r>
            <w:proofErr w:type="gramEnd"/>
            <w:r w:rsidRPr="00275D32">
              <w:rPr>
                <w:sz w:val="20"/>
                <w:szCs w:val="20"/>
              </w:rPr>
              <w:t xml:space="preserve"> </w:t>
            </w:r>
          </w:p>
          <w:p w14:paraId="5CBC717D" w14:textId="77777777" w:rsidR="00275D32" w:rsidRDefault="00275D32" w:rsidP="00275D32">
            <w:pPr>
              <w:pStyle w:val="ListParagraph"/>
              <w:numPr>
                <w:ilvl w:val="0"/>
                <w:numId w:val="5"/>
              </w:numPr>
              <w:ind w:left="74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writing sample; and </w:t>
            </w:r>
          </w:p>
          <w:p w14:paraId="445AA58C" w14:textId="77777777" w:rsidR="00E442DD" w:rsidRDefault="00275D32" w:rsidP="00E442DD">
            <w:pPr>
              <w:pStyle w:val="ListParagraph"/>
              <w:numPr>
                <w:ilvl w:val="0"/>
                <w:numId w:val="5"/>
              </w:numPr>
              <w:ind w:left="74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75D32">
              <w:rPr>
                <w:sz w:val="20"/>
                <w:szCs w:val="20"/>
              </w:rPr>
              <w:t>ames and cont</w:t>
            </w:r>
            <w:r w:rsidR="00E442DD">
              <w:rPr>
                <w:sz w:val="20"/>
                <w:szCs w:val="20"/>
              </w:rPr>
              <w:t xml:space="preserve">act details of 2-3 referees. </w:t>
            </w:r>
          </w:p>
          <w:p w14:paraId="648DBD3B" w14:textId="77777777" w:rsidR="00E442DD" w:rsidRPr="00E442DD" w:rsidRDefault="00E442DD" w:rsidP="00E442DD">
            <w:pPr>
              <w:pStyle w:val="ListParagraph"/>
              <w:ind w:left="745"/>
              <w:rPr>
                <w:sz w:val="20"/>
                <w:szCs w:val="20"/>
              </w:rPr>
            </w:pPr>
          </w:p>
          <w:p w14:paraId="46922FC6" w14:textId="3D5CCE4A" w:rsidR="000F0597" w:rsidRPr="00F8182D" w:rsidRDefault="00F8182D" w:rsidP="00473E7C">
            <w:pPr>
              <w:rPr>
                <w:color w:val="0000FF" w:themeColor="hyperlink"/>
                <w:u w:val="single"/>
              </w:rPr>
            </w:pPr>
            <w:r>
              <w:rPr>
                <w:sz w:val="20"/>
                <w:szCs w:val="20"/>
              </w:rPr>
              <w:t xml:space="preserve">Applications will be considered on a rolling basis until the position is filled. </w:t>
            </w:r>
            <w:r w:rsidRPr="00473E7C">
              <w:rPr>
                <w:sz w:val="20"/>
                <w:szCs w:val="20"/>
              </w:rPr>
              <w:t>Applicants should direct their application t</w:t>
            </w:r>
            <w:r>
              <w:rPr>
                <w:sz w:val="20"/>
                <w:szCs w:val="20"/>
              </w:rPr>
              <w:t xml:space="preserve">o Dr. A.M. Viens at </w:t>
            </w:r>
            <w:hyperlink r:id="rId11" w:history="1">
              <w:r w:rsidRPr="00723250">
                <w:rPr>
                  <w:rStyle w:val="Hyperlink"/>
                  <w:sz w:val="20"/>
                  <w:szCs w:val="20"/>
                </w:rPr>
                <w:t>amviens@yorku.ca</w:t>
              </w:r>
            </w:hyperlink>
            <w:r w:rsidR="00473E7C" w:rsidRPr="00473E7C">
              <w:rPr>
                <w:sz w:val="20"/>
                <w:szCs w:val="20"/>
              </w:rPr>
              <w:t xml:space="preserve">, with </w:t>
            </w:r>
            <w:r w:rsidR="00473E7C">
              <w:rPr>
                <w:sz w:val="20"/>
                <w:szCs w:val="20"/>
              </w:rPr>
              <w:t xml:space="preserve">the </w:t>
            </w:r>
            <w:r w:rsidR="00473E7C" w:rsidRPr="00473E7C">
              <w:rPr>
                <w:sz w:val="20"/>
                <w:szCs w:val="20"/>
              </w:rPr>
              <w:t xml:space="preserve">subject line: </w:t>
            </w:r>
            <w:r w:rsidR="00015848">
              <w:rPr>
                <w:sz w:val="20"/>
                <w:szCs w:val="20"/>
              </w:rPr>
              <w:t xml:space="preserve">Research </w:t>
            </w:r>
            <w:r w:rsidR="003C1583">
              <w:rPr>
                <w:sz w:val="20"/>
                <w:szCs w:val="20"/>
              </w:rPr>
              <w:t>Associate</w:t>
            </w:r>
            <w:r w:rsidR="00473E7C" w:rsidRPr="00473E7C">
              <w:rPr>
                <w:sz w:val="20"/>
                <w:szCs w:val="20"/>
              </w:rPr>
              <w:t xml:space="preserve"> Application –</w:t>
            </w:r>
            <w:r w:rsidR="00A35E93">
              <w:rPr>
                <w:sz w:val="20"/>
                <w:szCs w:val="20"/>
              </w:rPr>
              <w:t xml:space="preserve"> DESIGN</w:t>
            </w:r>
            <w:r w:rsidR="00473E7C" w:rsidRPr="00473E7C">
              <w:rPr>
                <w:sz w:val="20"/>
                <w:szCs w:val="20"/>
              </w:rPr>
              <w:t>.</w:t>
            </w:r>
            <w:r w:rsidR="00440A69" w:rsidRPr="00E442DD">
              <w:rPr>
                <w:sz w:val="20"/>
                <w:szCs w:val="20"/>
              </w:rPr>
              <w:t xml:space="preserve"> </w:t>
            </w:r>
            <w:r w:rsidRPr="00F8182D">
              <w:rPr>
                <w:sz w:val="20"/>
                <w:szCs w:val="20"/>
              </w:rPr>
              <w:t>We thank all applicants; however, only those candidates selected for an interview will be contacted.</w:t>
            </w:r>
            <w:r>
              <w:rPr>
                <w:sz w:val="20"/>
                <w:szCs w:val="20"/>
              </w:rPr>
              <w:t xml:space="preserve"> </w:t>
            </w:r>
            <w:r w:rsidR="00E442DD" w:rsidRPr="00E442DD">
              <w:rPr>
                <w:sz w:val="20"/>
                <w:szCs w:val="20"/>
              </w:rPr>
              <w:t xml:space="preserve">If there are any questions or a candidate would like to discuss the position further, please feel free to email </w:t>
            </w:r>
            <w:r w:rsidR="00DA5BEC">
              <w:rPr>
                <w:sz w:val="20"/>
                <w:szCs w:val="20"/>
              </w:rPr>
              <w:t xml:space="preserve">Dr. </w:t>
            </w:r>
            <w:r w:rsidR="00E442DD" w:rsidRPr="00E442DD">
              <w:rPr>
                <w:sz w:val="20"/>
                <w:szCs w:val="20"/>
              </w:rPr>
              <w:t>Viens.</w:t>
            </w:r>
            <w:r>
              <w:t xml:space="preserve"> </w:t>
            </w:r>
          </w:p>
        </w:tc>
      </w:tr>
    </w:tbl>
    <w:p w14:paraId="2D7EAA24" w14:textId="340D6B43" w:rsidR="00440A69" w:rsidRDefault="00440A69" w:rsidP="00325620"/>
    <w:p w14:paraId="01D8BDCA" w14:textId="77777777" w:rsidR="00492EB6" w:rsidRPr="007A526D" w:rsidRDefault="00492EB6" w:rsidP="00325620"/>
    <w:sectPr w:rsidR="00492EB6" w:rsidRPr="007A526D" w:rsidSect="007E4F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6C73" w14:textId="77777777" w:rsidR="00C100E3" w:rsidRDefault="00C100E3">
      <w:pPr>
        <w:spacing w:after="0" w:line="240" w:lineRule="auto"/>
      </w:pPr>
      <w:r>
        <w:separator/>
      </w:r>
    </w:p>
  </w:endnote>
  <w:endnote w:type="continuationSeparator" w:id="0">
    <w:p w14:paraId="1D50E3CC" w14:textId="77777777" w:rsidR="00C100E3" w:rsidRDefault="00C1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Regular">
    <w:altName w:val="Malgun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5F87" w14:textId="77777777" w:rsidR="005D2D1B" w:rsidRDefault="005D2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6635AA" w14:paraId="519CC6F8" w14:textId="77777777" w:rsidTr="006635AA">
      <w:tc>
        <w:tcPr>
          <w:tcW w:w="4788" w:type="dxa"/>
        </w:tcPr>
        <w:p w14:paraId="7DBCFCFE" w14:textId="77777777" w:rsidR="006635AA" w:rsidRPr="006635AA" w:rsidRDefault="000F5C5E" w:rsidP="006635AA">
          <w:pPr>
            <w:pStyle w:val="Footer"/>
            <w:jc w:val="both"/>
            <w:rPr>
              <w:rFonts w:ascii="Interstate Regular" w:hAnsi="Interstate Regular"/>
            </w:rPr>
          </w:pPr>
          <w:r>
            <w:rPr>
              <w:rFonts w:ascii="Interstate Regular" w:hAnsi="Interstate Regular"/>
              <w:sz w:val="24"/>
            </w:rPr>
            <w:br/>
          </w:r>
          <w:r w:rsidRPr="006635AA">
            <w:rPr>
              <w:rFonts w:ascii="Interstate Regular" w:hAnsi="Interstate Regular"/>
              <w:sz w:val="24"/>
            </w:rPr>
            <w:t>gradstudies.yorku.ca</w:t>
          </w:r>
        </w:p>
      </w:tc>
      <w:tc>
        <w:tcPr>
          <w:tcW w:w="4788" w:type="dxa"/>
        </w:tcPr>
        <w:p w14:paraId="5642895E" w14:textId="77777777" w:rsidR="006635AA" w:rsidRDefault="000F5C5E" w:rsidP="006635AA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16B558D" wp14:editId="5DBDCBE0">
                <wp:extent cx="1897436" cy="34664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665" cy="348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8A008C" w14:textId="77777777" w:rsidR="006635AA" w:rsidRDefault="00000000" w:rsidP="006635A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08DA" w14:textId="77777777" w:rsidR="005D2D1B" w:rsidRDefault="005D2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6ED2" w14:textId="77777777" w:rsidR="00C100E3" w:rsidRDefault="00C100E3">
      <w:pPr>
        <w:spacing w:after="0" w:line="240" w:lineRule="auto"/>
      </w:pPr>
      <w:r>
        <w:separator/>
      </w:r>
    </w:p>
  </w:footnote>
  <w:footnote w:type="continuationSeparator" w:id="0">
    <w:p w14:paraId="2CC834A1" w14:textId="77777777" w:rsidR="00C100E3" w:rsidRDefault="00C1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586A" w14:textId="77777777" w:rsidR="005D2D1B" w:rsidRDefault="005D2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942145"/>
      <w:docPartObj>
        <w:docPartGallery w:val="Watermarks"/>
        <w:docPartUnique/>
      </w:docPartObj>
    </w:sdtPr>
    <w:sdtContent>
      <w:p w14:paraId="2E01D390" w14:textId="77777777" w:rsidR="005D2D1B" w:rsidRDefault="00C100E3">
        <w:pPr>
          <w:pStyle w:val="Header"/>
        </w:pPr>
        <w:r>
          <w:rPr>
            <w:noProof/>
            <w:lang w:eastAsia="zh-TW"/>
          </w:rPr>
          <w:pict w14:anchorId="63A6CF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D34" w14:textId="77777777" w:rsidR="005D2D1B" w:rsidRDefault="005D2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3D1"/>
    <w:multiLevelType w:val="hybridMultilevel"/>
    <w:tmpl w:val="8816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75"/>
    <w:multiLevelType w:val="hybridMultilevel"/>
    <w:tmpl w:val="6734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2EE"/>
    <w:multiLevelType w:val="hybridMultilevel"/>
    <w:tmpl w:val="2DA6A098"/>
    <w:lvl w:ilvl="0" w:tplc="F906E8F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F0E"/>
    <w:multiLevelType w:val="hybridMultilevel"/>
    <w:tmpl w:val="8560123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9C44ABB"/>
    <w:multiLevelType w:val="multilevel"/>
    <w:tmpl w:val="3BA8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32E7D"/>
    <w:multiLevelType w:val="hybridMultilevel"/>
    <w:tmpl w:val="EBB4F86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2DFF"/>
    <w:multiLevelType w:val="hybridMultilevel"/>
    <w:tmpl w:val="0270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8456C"/>
    <w:multiLevelType w:val="hybridMultilevel"/>
    <w:tmpl w:val="E3BE993E"/>
    <w:lvl w:ilvl="0" w:tplc="5DFC1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87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5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0D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8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8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3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0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2C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FC68E6"/>
    <w:multiLevelType w:val="hybridMultilevel"/>
    <w:tmpl w:val="36C6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1A9B"/>
    <w:multiLevelType w:val="hybridMultilevel"/>
    <w:tmpl w:val="5EB8572A"/>
    <w:lvl w:ilvl="0" w:tplc="5A6C71F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9BBB5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40653"/>
    <w:multiLevelType w:val="multilevel"/>
    <w:tmpl w:val="970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45847"/>
    <w:multiLevelType w:val="hybridMultilevel"/>
    <w:tmpl w:val="893A0190"/>
    <w:lvl w:ilvl="0" w:tplc="F906E8F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A7456"/>
    <w:multiLevelType w:val="multilevel"/>
    <w:tmpl w:val="8E6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2860070">
    <w:abstractNumId w:val="3"/>
  </w:num>
  <w:num w:numId="2" w16cid:durableId="1415588313">
    <w:abstractNumId w:val="8"/>
  </w:num>
  <w:num w:numId="3" w16cid:durableId="1682587708">
    <w:abstractNumId w:val="1"/>
  </w:num>
  <w:num w:numId="4" w16cid:durableId="1604190895">
    <w:abstractNumId w:val="0"/>
  </w:num>
  <w:num w:numId="5" w16cid:durableId="1452241355">
    <w:abstractNumId w:val="5"/>
  </w:num>
  <w:num w:numId="6" w16cid:durableId="769471848">
    <w:abstractNumId w:val="6"/>
  </w:num>
  <w:num w:numId="7" w16cid:durableId="1859730194">
    <w:abstractNumId w:val="11"/>
  </w:num>
  <w:num w:numId="8" w16cid:durableId="698968347">
    <w:abstractNumId w:val="2"/>
  </w:num>
  <w:num w:numId="9" w16cid:durableId="1954939575">
    <w:abstractNumId w:val="4"/>
  </w:num>
  <w:num w:numId="10" w16cid:durableId="1942644472">
    <w:abstractNumId w:val="10"/>
  </w:num>
  <w:num w:numId="11" w16cid:durableId="282421894">
    <w:abstractNumId w:val="12"/>
  </w:num>
  <w:num w:numId="12" w16cid:durableId="1664965684">
    <w:abstractNumId w:val="9"/>
  </w:num>
  <w:num w:numId="13" w16cid:durableId="522941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69"/>
    <w:rsid w:val="00007C19"/>
    <w:rsid w:val="00015848"/>
    <w:rsid w:val="000165AD"/>
    <w:rsid w:val="00086A2D"/>
    <w:rsid w:val="000E3FDE"/>
    <w:rsid w:val="000F0597"/>
    <w:rsid w:val="000F5C5E"/>
    <w:rsid w:val="00126BDA"/>
    <w:rsid w:val="00156C2F"/>
    <w:rsid w:val="001B2470"/>
    <w:rsid w:val="00214BBD"/>
    <w:rsid w:val="00275D32"/>
    <w:rsid w:val="002A0FAA"/>
    <w:rsid w:val="002B4D20"/>
    <w:rsid w:val="00325620"/>
    <w:rsid w:val="003753D9"/>
    <w:rsid w:val="00397C4C"/>
    <w:rsid w:val="003B1D4E"/>
    <w:rsid w:val="003C1583"/>
    <w:rsid w:val="003D4D8D"/>
    <w:rsid w:val="004140E3"/>
    <w:rsid w:val="00421DD7"/>
    <w:rsid w:val="004334F1"/>
    <w:rsid w:val="00440A69"/>
    <w:rsid w:val="0044620C"/>
    <w:rsid w:val="00473E7C"/>
    <w:rsid w:val="00492EB6"/>
    <w:rsid w:val="004D26DC"/>
    <w:rsid w:val="00524D3C"/>
    <w:rsid w:val="005D2D1B"/>
    <w:rsid w:val="005D44AF"/>
    <w:rsid w:val="00601817"/>
    <w:rsid w:val="00637AC3"/>
    <w:rsid w:val="0068421E"/>
    <w:rsid w:val="007B0CE9"/>
    <w:rsid w:val="007E4F29"/>
    <w:rsid w:val="00857B15"/>
    <w:rsid w:val="00900BB5"/>
    <w:rsid w:val="009624E2"/>
    <w:rsid w:val="009B2445"/>
    <w:rsid w:val="00A35E93"/>
    <w:rsid w:val="00AD1272"/>
    <w:rsid w:val="00B029C1"/>
    <w:rsid w:val="00B675FE"/>
    <w:rsid w:val="00BC5134"/>
    <w:rsid w:val="00C03A13"/>
    <w:rsid w:val="00C05A6E"/>
    <w:rsid w:val="00C100E3"/>
    <w:rsid w:val="00C32D5A"/>
    <w:rsid w:val="00CB60BE"/>
    <w:rsid w:val="00D201BB"/>
    <w:rsid w:val="00DA5BEC"/>
    <w:rsid w:val="00DC13D3"/>
    <w:rsid w:val="00DD19D1"/>
    <w:rsid w:val="00E06ED6"/>
    <w:rsid w:val="00E442DD"/>
    <w:rsid w:val="00E93D27"/>
    <w:rsid w:val="00EC2D37"/>
    <w:rsid w:val="00EE3F5D"/>
    <w:rsid w:val="00EF630D"/>
    <w:rsid w:val="00F8182D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E4C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69"/>
  </w:style>
  <w:style w:type="table" w:styleId="TableGrid">
    <w:name w:val="Table Grid"/>
    <w:basedOn w:val="TableNormal"/>
    <w:uiPriority w:val="59"/>
    <w:rsid w:val="0044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4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20"/>
  </w:style>
  <w:style w:type="paragraph" w:styleId="ListParagraph">
    <w:name w:val="List Paragraph"/>
    <w:aliases w:val="Graph &amp; Table tite,Bullet Points,Liste Paragraf"/>
    <w:basedOn w:val="Normal"/>
    <w:link w:val="ListParagraphChar"/>
    <w:uiPriority w:val="34"/>
    <w:qFormat/>
    <w:rsid w:val="00126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E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48"/>
    <w:rPr>
      <w:b/>
      <w:bCs/>
      <w:sz w:val="20"/>
      <w:szCs w:val="20"/>
    </w:rPr>
  </w:style>
  <w:style w:type="character" w:customStyle="1" w:styleId="ListParagraphChar">
    <w:name w:val="List Paragraph Char"/>
    <w:aliases w:val="Graph &amp; Table tite Char,Bullet Points Char,Liste Paragraf Char"/>
    <w:link w:val="ListParagraph"/>
    <w:uiPriority w:val="34"/>
    <w:rsid w:val="00492EB6"/>
  </w:style>
  <w:style w:type="character" w:styleId="UnresolvedMention">
    <w:name w:val="Unresolved Mention"/>
    <w:basedOn w:val="DefaultParagraphFont"/>
    <w:uiPriority w:val="99"/>
    <w:rsid w:val="00DA5B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6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u.ca/health/globalhealth/faculty-research/faculty-members/mary-wiktorowi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rku.ca/health/globalhealth/faculty-research/faculty-members/a-m-vien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viens@yorku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rku.ca/digh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rku.ca/health/globalhealth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Chloe Clifford Astbury</cp:lastModifiedBy>
  <cp:revision>5</cp:revision>
  <dcterms:created xsi:type="dcterms:W3CDTF">2022-06-13T16:46:00Z</dcterms:created>
  <dcterms:modified xsi:type="dcterms:W3CDTF">2022-09-20T17:01:00Z</dcterms:modified>
</cp:coreProperties>
</file>