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14D226" w14:textId="77777777" w:rsidR="00A669CA" w:rsidRPr="00D06382" w:rsidRDefault="00A669CA" w:rsidP="000D3022">
      <w:pPr>
        <w:spacing w:before="480"/>
        <w:ind w:left="-851"/>
        <w:rPr>
          <w:rFonts w:cs="Times New Roman"/>
          <w:noProof/>
        </w:rPr>
      </w:pPr>
      <w:r w:rsidRPr="00D06382">
        <w:rPr>
          <w:rFonts w:cs="Times New Roman"/>
          <w:noProof/>
        </w:rPr>
        <w:drawing>
          <wp:anchor distT="0" distB="0" distL="114300" distR="114300" simplePos="0" relativeHeight="251658240" behindDoc="1" locked="0" layoutInCell="1" allowOverlap="1" wp14:anchorId="53529893" wp14:editId="22B431D2">
            <wp:simplePos x="0" y="0"/>
            <wp:positionH relativeFrom="page">
              <wp:align>left</wp:align>
            </wp:positionH>
            <wp:positionV relativeFrom="paragraph">
              <wp:posOffset>-913746</wp:posOffset>
            </wp:positionV>
            <wp:extent cx="15106264" cy="10049774"/>
            <wp:effectExtent l="0" t="0" r="635" b="8890"/>
            <wp:wrapNone/>
            <wp:docPr id="8"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a:extLst>
                        <a:ext uri="{C183D7F6-B498-43B3-948B-1728B52AA6E4}">
                          <adec:decorative xmlns:adec="http://schemas.microsoft.com/office/drawing/2017/decorative" val="1"/>
                        </a:ext>
                      </a:extLst>
                    </pic:cNvPr>
                    <pic:cNvPicPr/>
                  </pic:nvPicPr>
                  <pic:blipFill>
                    <a:blip r:embed="rId11">
                      <a:extLst>
                        <a:ext uri="{28A0092B-C50C-407E-A947-70E740481C1C}">
                          <a14:useLocalDpi xmlns:a14="http://schemas.microsoft.com/office/drawing/2010/main" val="0"/>
                        </a:ext>
                      </a:extLst>
                    </a:blip>
                    <a:stretch>
                      <a:fillRect/>
                    </a:stretch>
                  </pic:blipFill>
                  <pic:spPr>
                    <a:xfrm>
                      <a:off x="0" y="0"/>
                      <a:ext cx="15106264" cy="10049774"/>
                    </a:xfrm>
                    <a:prstGeom prst="rect">
                      <a:avLst/>
                    </a:prstGeom>
                  </pic:spPr>
                </pic:pic>
              </a:graphicData>
            </a:graphic>
            <wp14:sizeRelH relativeFrom="page">
              <wp14:pctWidth>0</wp14:pctWidth>
            </wp14:sizeRelH>
            <wp14:sizeRelV relativeFrom="page">
              <wp14:pctHeight>0</wp14:pctHeight>
            </wp14:sizeRelV>
          </wp:anchor>
        </w:drawing>
      </w:r>
      <w:r w:rsidRPr="00D06382">
        <w:rPr>
          <w:rFonts w:cs="Times New Roman"/>
          <w:noProof/>
          <w:color w:val="E13446"/>
        </w:rPr>
        <mc:AlternateContent>
          <mc:Choice Requires="wps">
            <w:drawing>
              <wp:anchor distT="0" distB="0" distL="114300" distR="114300" simplePos="0" relativeHeight="251658241" behindDoc="1" locked="0" layoutInCell="1" allowOverlap="1" wp14:anchorId="75E806C6" wp14:editId="6158D0B0">
                <wp:simplePos x="-1050243" y="1829435"/>
                <wp:positionH relativeFrom="margin">
                  <wp:align>center</wp:align>
                </wp:positionH>
                <wp:positionV relativeFrom="margin">
                  <wp:align>center</wp:align>
                </wp:positionV>
                <wp:extent cx="9305290" cy="7022465"/>
                <wp:effectExtent l="0" t="1588" r="8573" b="8572"/>
                <wp:wrapNone/>
                <wp:docPr id="14" name="Freeform 13">
                  <a:extLst xmlns:a="http://schemas.openxmlformats.org/drawingml/2006/main">
                    <a:ext uri="{FF2B5EF4-FFF2-40B4-BE49-F238E27FC236}">
                      <a16:creationId xmlns:a16="http://schemas.microsoft.com/office/drawing/2014/main" id="{1D908B79-FC1A-6E4F-82D2-F9EA3DF86EB6}"/>
                    </a:ext>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rot="5400000">
                          <a:off x="0" y="0"/>
                          <a:ext cx="9305290" cy="7022465"/>
                        </a:xfrm>
                        <a:custGeom>
                          <a:avLst/>
                          <a:gdLst>
                            <a:gd name="connsiteX0" fmla="*/ 179705 w 9305747"/>
                            <a:gd name="connsiteY0" fmla="*/ 6843394 h 7023099"/>
                            <a:gd name="connsiteX1" fmla="*/ 9126042 w 9305747"/>
                            <a:gd name="connsiteY1" fmla="*/ 6843394 h 7023099"/>
                            <a:gd name="connsiteX2" fmla="*/ 9126042 w 9305747"/>
                            <a:gd name="connsiteY2" fmla="*/ 179704 h 7023099"/>
                            <a:gd name="connsiteX3" fmla="*/ 179706 w 9305747"/>
                            <a:gd name="connsiteY3" fmla="*/ 179704 h 7023099"/>
                            <a:gd name="connsiteX4" fmla="*/ 0 w 9305747"/>
                            <a:gd name="connsiteY4" fmla="*/ 6955787 h 7023099"/>
                            <a:gd name="connsiteX5" fmla="*/ 1 w 9305747"/>
                            <a:gd name="connsiteY5" fmla="*/ 86358 h 7023099"/>
                            <a:gd name="connsiteX6" fmla="*/ 1 w 9305747"/>
                            <a:gd name="connsiteY6" fmla="*/ 86358 h 7023099"/>
                            <a:gd name="connsiteX7" fmla="*/ 1 w 9305747"/>
                            <a:gd name="connsiteY7" fmla="*/ 0 h 7023099"/>
                            <a:gd name="connsiteX8" fmla="*/ 9305747 w 9305747"/>
                            <a:gd name="connsiteY8" fmla="*/ 0 h 7023099"/>
                            <a:gd name="connsiteX9" fmla="*/ 9305747 w 9305747"/>
                            <a:gd name="connsiteY9" fmla="*/ 86358 h 7023099"/>
                            <a:gd name="connsiteX10" fmla="*/ 9305747 w 9305747"/>
                            <a:gd name="connsiteY10" fmla="*/ 86358 h 7023099"/>
                            <a:gd name="connsiteX11" fmla="*/ 9305747 w 9305747"/>
                            <a:gd name="connsiteY11" fmla="*/ 6843394 h 7023099"/>
                            <a:gd name="connsiteX12" fmla="*/ 9305747 w 9305747"/>
                            <a:gd name="connsiteY12" fmla="*/ 6955788 h 7023099"/>
                            <a:gd name="connsiteX13" fmla="*/ 9305747 w 9305747"/>
                            <a:gd name="connsiteY13" fmla="*/ 7023099 h 7023099"/>
                            <a:gd name="connsiteX14" fmla="*/ 1158 w 9305747"/>
                            <a:gd name="connsiteY14" fmla="*/ 7023098 h 7023099"/>
                            <a:gd name="connsiteX15" fmla="*/ 1158 w 9305747"/>
                            <a:gd name="connsiteY15" fmla="*/ 6955787 h 7023099"/>
                          </a:gdLst>
                          <a:ah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 ang="0">
                              <a:pos x="connsiteX6" y="connsiteY6"/>
                            </a:cxn>
                            <a:cxn ang="0">
                              <a:pos x="connsiteX7" y="connsiteY7"/>
                            </a:cxn>
                            <a:cxn ang="0">
                              <a:pos x="connsiteX8" y="connsiteY8"/>
                            </a:cxn>
                            <a:cxn ang="0">
                              <a:pos x="connsiteX9" y="connsiteY9"/>
                            </a:cxn>
                            <a:cxn ang="0">
                              <a:pos x="connsiteX10" y="connsiteY10"/>
                            </a:cxn>
                            <a:cxn ang="0">
                              <a:pos x="connsiteX11" y="connsiteY11"/>
                            </a:cxn>
                            <a:cxn ang="0">
                              <a:pos x="connsiteX12" y="connsiteY12"/>
                            </a:cxn>
                            <a:cxn ang="0">
                              <a:pos x="connsiteX13" y="connsiteY13"/>
                            </a:cxn>
                            <a:cxn ang="0">
                              <a:pos x="connsiteX14" y="connsiteY14"/>
                            </a:cxn>
                            <a:cxn ang="0">
                              <a:pos x="connsiteX15" y="connsiteY15"/>
                            </a:cxn>
                          </a:cxnLst>
                          <a:rect l="l" t="t" r="r" b="b"/>
                          <a:pathLst>
                            <a:path w="9305747" h="7023099">
                              <a:moveTo>
                                <a:pt x="179705" y="6843394"/>
                              </a:moveTo>
                              <a:lnTo>
                                <a:pt x="9126042" y="6843394"/>
                              </a:lnTo>
                              <a:lnTo>
                                <a:pt x="9126042" y="179704"/>
                              </a:lnTo>
                              <a:lnTo>
                                <a:pt x="179706" y="179704"/>
                              </a:lnTo>
                              <a:close/>
                              <a:moveTo>
                                <a:pt x="0" y="6955787"/>
                              </a:moveTo>
                              <a:lnTo>
                                <a:pt x="1" y="86358"/>
                              </a:lnTo>
                              <a:lnTo>
                                <a:pt x="1" y="86358"/>
                              </a:lnTo>
                              <a:lnTo>
                                <a:pt x="1" y="0"/>
                              </a:lnTo>
                              <a:lnTo>
                                <a:pt x="9305747" y="0"/>
                              </a:lnTo>
                              <a:lnTo>
                                <a:pt x="9305747" y="86358"/>
                              </a:lnTo>
                              <a:lnTo>
                                <a:pt x="9305747" y="86358"/>
                              </a:lnTo>
                              <a:lnTo>
                                <a:pt x="9305747" y="6843394"/>
                              </a:lnTo>
                              <a:lnTo>
                                <a:pt x="9305747" y="6955788"/>
                              </a:lnTo>
                              <a:lnTo>
                                <a:pt x="9305747" y="7023099"/>
                              </a:lnTo>
                              <a:lnTo>
                                <a:pt x="1158" y="7023098"/>
                              </a:lnTo>
                              <a:lnTo>
                                <a:pt x="1158" y="6955787"/>
                              </a:lnTo>
                              <a:close/>
                            </a:path>
                          </a:pathLst>
                        </a:cu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shape w14:anchorId="0A9DA09B" id="Freeform 13" o:spid="_x0000_s1026" alt="&quot;&quot;" style="position:absolute;margin-left:0;margin-top:0;width:732.7pt;height:552.95pt;rotation:90;z-index:-251655168;visibility:visible;mso-wrap-style:square;mso-wrap-distance-left:9pt;mso-wrap-distance-top:0;mso-wrap-distance-right:9pt;mso-wrap-distance-bottom:0;mso-position-horizontal:center;mso-position-horizontal-relative:margin;mso-position-vertical:center;mso-position-vertical-relative:margin;v-text-anchor:middle" coordsize="9305747,702309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" path="m179705,6843394r8946337,l9126042,179704r-8946336,l179705,6843394xm,6955787l1,86358r,l1,,9305747,r,86358l9305747,86358r,6757036l9305747,6955788r,67311l1158,7023098r,-67311l,6955787xe" fillcolor="#e13446" stroked="f" strokeweight="1pt">
                <v:stroke joinstyle="miter"/>
                <v:path arrowok="t" o:connecttype="custom" o:connectlocs="179696,6842776;9125594,6842776;9125594,179688;179697,179688;0,6955159;1,86350;1,86350;1,0;9305290,0;9305290,86350;9305290,86350;9305290,6842776;9305290,6955160;9305290,7022465;1158,7022464;1158,6955159" o:connectangles="0,0,0,0,0,0,0,0,0,0,0,0,0,0,0,0"/>
                <w10:wrap anchorx="margin" anchory="margin"/>
              </v:shape>
            </w:pict>
          </mc:Fallback>
        </mc:AlternateContent>
      </w:r>
      <w:r w:rsidR="000D3022" w:rsidRPr="00D06382">
        <w:rPr>
          <w:rFonts w:cs="Times New Roman"/>
          <w:noProof/>
          <w:color w:val="FFFFFF" w:themeColor="background1"/>
        </w:rPr>
        <mc:AlternateContent>
          <mc:Choice Requires="wps">
            <w:drawing>
              <wp:inline distT="0" distB="0" distL="0" distR="0" wp14:anchorId="274AEC65" wp14:editId="005BAD38">
                <wp:extent cx="5004000" cy="4716000"/>
                <wp:effectExtent l="0" t="0" r="6350" b="2540"/>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04000" cy="4716000"/>
                        </a:xfrm>
                        <a:prstGeom prst="rect">
                          <a:avLst/>
                        </a:prstGeom>
                        <a:solidFill>
                          <a:schemeClr val="accent1"/>
                        </a:solidFill>
                        <a:ln w="9525">
                          <a:noFill/>
                          <a:miter lim="800000"/>
                          <a:headEnd/>
                          <a:tailEnd/>
                        </a:ln>
                      </wps:spPr>
                      <wps:txbx>
                        <w:txbxContent>
                          <w:p w14:paraId="5138885B" w14:textId="2348325C" w:rsidR="00587048" w:rsidRDefault="009C128F" w:rsidP="00195234">
                            <w:pPr>
                              <w:pStyle w:val="Subtitle-coverpage"/>
                              <w:rPr>
                                <w:rFonts w:ascii="IBM Plex Sans SemiBold" w:hAnsi="IBM Plex Sans SemiBold"/>
                                <w:sz w:val="92"/>
                                <w:szCs w:val="92"/>
                              </w:rPr>
                            </w:pPr>
                            <w:r>
                              <w:rPr>
                                <w:rFonts w:ascii="IBM Plex Sans SemiBold" w:hAnsi="IBM Plex Sans SemiBold"/>
                                <w:sz w:val="92"/>
                                <w:szCs w:val="92"/>
                              </w:rPr>
                              <w:t xml:space="preserve">Proposed </w:t>
                            </w:r>
                            <w:r w:rsidR="00587048" w:rsidRPr="00587048">
                              <w:rPr>
                                <w:rFonts w:ascii="IBM Plex Sans SemiBold" w:hAnsi="IBM Plex Sans SemiBold"/>
                                <w:sz w:val="92"/>
                                <w:szCs w:val="92"/>
                              </w:rPr>
                              <w:t>YU</w:t>
                            </w:r>
                            <w:r>
                              <w:rPr>
                                <w:rFonts w:ascii="IBM Plex Sans SemiBold" w:hAnsi="IBM Plex Sans SemiBold"/>
                                <w:sz w:val="92"/>
                                <w:szCs w:val="92"/>
                              </w:rPr>
                              <w:t xml:space="preserve"> Green</w:t>
                            </w:r>
                            <w:r w:rsidR="00587048" w:rsidRPr="00587048">
                              <w:rPr>
                                <w:rFonts w:ascii="IBM Plex Sans SemiBold" w:hAnsi="IBM Plex Sans SemiBold"/>
                                <w:sz w:val="92"/>
                                <w:szCs w:val="92"/>
                              </w:rPr>
                              <w:t xml:space="preserve"> Building Strategy</w:t>
                            </w:r>
                            <w:r w:rsidR="00A03AFF">
                              <w:rPr>
                                <w:rFonts w:ascii="IBM Plex Sans SemiBold" w:hAnsi="IBM Plex Sans SemiBold"/>
                                <w:sz w:val="92"/>
                                <w:szCs w:val="92"/>
                              </w:rPr>
                              <w:t xml:space="preserve"> Report</w:t>
                            </w:r>
                            <w:r>
                              <w:rPr>
                                <w:rFonts w:ascii="IBM Plex Sans SemiBold" w:hAnsi="IBM Plex Sans SemiBold"/>
                                <w:sz w:val="92"/>
                                <w:szCs w:val="92"/>
                              </w:rPr>
                              <w:t xml:space="preserve"> </w:t>
                            </w:r>
                            <w:r w:rsidRPr="009C128F">
                              <w:rPr>
                                <w:rFonts w:ascii="IBM Plex Sans SemiBold" w:hAnsi="IBM Plex Sans SemiBold"/>
                                <w:i/>
                                <w:iCs/>
                                <w:sz w:val="92"/>
                                <w:szCs w:val="92"/>
                              </w:rPr>
                              <w:t>(Draft)</w:t>
                            </w:r>
                          </w:p>
                          <w:p w14:paraId="3D6FAEAC" w14:textId="59C2A97F" w:rsidR="008C541A" w:rsidRPr="008C541A" w:rsidRDefault="008C541A" w:rsidP="00195234">
                            <w:pPr>
                              <w:pStyle w:val="Subtitle-coverpage"/>
                              <w:rPr>
                                <w:rFonts w:ascii="IBM Plex Sans SemiBold" w:hAnsi="IBM Plex Sans SemiBold"/>
                                <w:sz w:val="24"/>
                                <w:szCs w:val="24"/>
                              </w:rPr>
                            </w:pPr>
                            <w:r w:rsidRPr="008C541A">
                              <w:rPr>
                                <w:rFonts w:ascii="IBM Plex Sans SemiBold" w:hAnsi="IBM Plex Sans SemiBold"/>
                                <w:sz w:val="24"/>
                                <w:szCs w:val="24"/>
                              </w:rPr>
                              <w:t>Prepared by: Desmond Asiedu</w:t>
                            </w:r>
                            <w:r w:rsidR="009C128F">
                              <w:rPr>
                                <w:rFonts w:ascii="IBM Plex Sans SemiBold" w:hAnsi="IBM Plex Sans SemiBold"/>
                                <w:sz w:val="24"/>
                                <w:szCs w:val="24"/>
                              </w:rPr>
                              <w:br/>
                              <w:t>Master of Environmental Studies- Environmntal and Urban Change</w:t>
                            </w:r>
                            <w:r w:rsidR="00AE55BF">
                              <w:rPr>
                                <w:rFonts w:ascii="IBM Plex Sans SemiBold" w:hAnsi="IBM Plex Sans SemiBold"/>
                                <w:sz w:val="24"/>
                                <w:szCs w:val="24"/>
                              </w:rPr>
                              <w:br/>
                              <w:t>for: YU Office of Sustainability</w:t>
                            </w:r>
                          </w:p>
                          <w:p w14:paraId="04E54CD8" w14:textId="77777777" w:rsidR="000D3022" w:rsidRDefault="000D3022" w:rsidP="000D3022">
                            <w:pPr>
                              <w:pBdr>
                                <w:top w:val="single" w:sz="6" w:space="31" w:color="FFFFFF" w:themeColor="background1"/>
                              </w:pBdr>
                              <w:spacing w:after="0"/>
                              <w:jc w:val="right"/>
                            </w:pPr>
                            <w:r>
                              <w:rPr>
                                <w:noProof/>
                              </w:rPr>
                              <w:drawing>
                                <wp:inline distT="0" distB="0" distL="0" distR="0" wp14:anchorId="44357BF3" wp14:editId="52E0E64E">
                                  <wp:extent cx="2141220" cy="471170"/>
                                  <wp:effectExtent l="0" t="0" r="0" b="5080"/>
                                  <wp:docPr id="31" name="Picture 31" descr="York University Logo"/>
                                  <wp:cNvGraphicFramePr/>
                                  <a:graphic xmlns:a="http://schemas.openxmlformats.org/drawingml/2006/main">
                                    <a:graphicData uri="http://schemas.openxmlformats.org/drawingml/2006/picture">
                                      <pic:pic xmlns:pic="http://schemas.openxmlformats.org/drawingml/2006/picture">
                                        <pic:nvPicPr>
                                          <pic:cNvPr id="31" name="Picture 31" descr="York University Logo"/>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41220" cy="471170"/>
                                          </a:xfrm>
                                          <a:prstGeom prst="rect">
                                            <a:avLst/>
                                          </a:prstGeom>
                                        </pic:spPr>
                                      </pic:pic>
                                    </a:graphicData>
                                  </a:graphic>
                                </wp:inline>
                              </w:drawing>
                            </w:r>
                          </w:p>
                        </w:txbxContent>
                      </wps:txbx>
                      <wps:bodyPr rot="0" vert="horz" wrap="square" lIns="324000" tIns="324000" rIns="396000" bIns="396000" anchor="t" anchorCtr="0">
                        <a:spAutoFit/>
                      </wps:bodyPr>
                    </wps:wsp>
                  </a:graphicData>
                </a:graphic>
              </wp:inline>
            </w:drawing>
          </mc:Choice>
          <mc:Fallback>
            <w:pict>
              <v:shapetype w14:anchorId="274AEC65" id="_x0000_t202" coordsize="21600,21600" o:spt="202" path="m,l,21600r21600,l21600,xe">
                <v:stroke joinstyle="miter"/>
                <v:path gradientshapeok="t" o:connecttype="rect"/>
              </v:shapetype>
              <v:shape id="Text Box 2" o:spid="_x0000_s1026" type="#_x0000_t202" style="width:394pt;height:371.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" fillcolor="#e13446 [3204]" stroked="f">
                <v:textbox style="mso-fit-shape-to-text:t" inset="9mm,9mm,11mm,11mm">
                  <w:txbxContent>
                    <w:p w14:paraId="5138885B" w14:textId="2348325C" w:rsidR="00587048" w:rsidRDefault="009C128F" w:rsidP="00195234">
                      <w:pPr>
                        <w:pStyle w:val="Subtitle-coverpage"/>
                        <w:rPr>
                          <w:rFonts w:ascii="IBM Plex Sans SemiBold" w:hAnsi="IBM Plex Sans SemiBold"/>
                          <w:sz w:val="92"/>
                          <w:szCs w:val="92"/>
                        </w:rPr>
                      </w:pPr>
                      <w:r>
                        <w:rPr>
                          <w:rFonts w:ascii="IBM Plex Sans SemiBold" w:hAnsi="IBM Plex Sans SemiBold"/>
                          <w:sz w:val="92"/>
                          <w:szCs w:val="92"/>
                        </w:rPr>
                        <w:t xml:space="preserve">Proposed </w:t>
                      </w:r>
                      <w:r w:rsidR="00587048" w:rsidRPr="00587048">
                        <w:rPr>
                          <w:rFonts w:ascii="IBM Plex Sans SemiBold" w:hAnsi="IBM Plex Sans SemiBold"/>
                          <w:sz w:val="92"/>
                          <w:szCs w:val="92"/>
                        </w:rPr>
                        <w:t>YU</w:t>
                      </w:r>
                      <w:r>
                        <w:rPr>
                          <w:rFonts w:ascii="IBM Plex Sans SemiBold" w:hAnsi="IBM Plex Sans SemiBold"/>
                          <w:sz w:val="92"/>
                          <w:szCs w:val="92"/>
                        </w:rPr>
                        <w:t xml:space="preserve"> Green</w:t>
                      </w:r>
                      <w:r w:rsidR="00587048" w:rsidRPr="00587048">
                        <w:rPr>
                          <w:rFonts w:ascii="IBM Plex Sans SemiBold" w:hAnsi="IBM Plex Sans SemiBold"/>
                          <w:sz w:val="92"/>
                          <w:szCs w:val="92"/>
                        </w:rPr>
                        <w:t xml:space="preserve"> Building Strategy</w:t>
                      </w:r>
                      <w:r w:rsidR="00A03AFF">
                        <w:rPr>
                          <w:rFonts w:ascii="IBM Plex Sans SemiBold" w:hAnsi="IBM Plex Sans SemiBold"/>
                          <w:sz w:val="92"/>
                          <w:szCs w:val="92"/>
                        </w:rPr>
                        <w:t xml:space="preserve"> Report</w:t>
                      </w:r>
                      <w:r>
                        <w:rPr>
                          <w:rFonts w:ascii="IBM Plex Sans SemiBold" w:hAnsi="IBM Plex Sans SemiBold"/>
                          <w:sz w:val="92"/>
                          <w:szCs w:val="92"/>
                        </w:rPr>
                        <w:t xml:space="preserve"> </w:t>
                      </w:r>
                      <w:r w:rsidRPr="009C128F">
                        <w:rPr>
                          <w:rFonts w:ascii="IBM Plex Sans SemiBold" w:hAnsi="IBM Plex Sans SemiBold"/>
                          <w:i/>
                          <w:iCs/>
                          <w:sz w:val="92"/>
                          <w:szCs w:val="92"/>
                        </w:rPr>
                        <w:t>(Draft)</w:t>
                      </w:r>
                    </w:p>
                    <w:p w14:paraId="3D6FAEAC" w14:textId="59C2A97F" w:rsidR="008C541A" w:rsidRPr="008C541A" w:rsidRDefault="008C541A" w:rsidP="00195234">
                      <w:pPr>
                        <w:pStyle w:val="Subtitle-coverpage"/>
                        <w:rPr>
                          <w:rFonts w:ascii="IBM Plex Sans SemiBold" w:hAnsi="IBM Plex Sans SemiBold"/>
                          <w:sz w:val="24"/>
                          <w:szCs w:val="24"/>
                        </w:rPr>
                      </w:pPr>
                      <w:r w:rsidRPr="008C541A">
                        <w:rPr>
                          <w:rFonts w:ascii="IBM Plex Sans SemiBold" w:hAnsi="IBM Plex Sans SemiBold"/>
                          <w:sz w:val="24"/>
                          <w:szCs w:val="24"/>
                        </w:rPr>
                        <w:t>Prepared by: Desmond Asiedu</w:t>
                      </w:r>
                      <w:r w:rsidR="009C128F">
                        <w:rPr>
                          <w:rFonts w:ascii="IBM Plex Sans SemiBold" w:hAnsi="IBM Plex Sans SemiBold"/>
                          <w:sz w:val="24"/>
                          <w:szCs w:val="24"/>
                        </w:rPr>
                        <w:br/>
                        <w:t>Master of Environmental Studies- Environmntal and Urban Change</w:t>
                      </w:r>
                      <w:r w:rsidR="00AE55BF">
                        <w:rPr>
                          <w:rFonts w:ascii="IBM Plex Sans SemiBold" w:hAnsi="IBM Plex Sans SemiBold"/>
                          <w:sz w:val="24"/>
                          <w:szCs w:val="24"/>
                        </w:rPr>
                        <w:br/>
                        <w:t>for: YU Office of Sustainability</w:t>
                      </w:r>
                    </w:p>
                    <w:p w14:paraId="04E54CD8" w14:textId="77777777" w:rsidR="000D3022" w:rsidRDefault="000D3022" w:rsidP="000D3022">
                      <w:pPr>
                        <w:pBdr>
                          <w:top w:val="single" w:sz="6" w:space="31" w:color="FFFFFF" w:themeColor="background1"/>
                        </w:pBdr>
                        <w:spacing w:after="0"/>
                        <w:jc w:val="right"/>
                      </w:pPr>
                      <w:r>
                        <w:rPr>
                          <w:noProof/>
                        </w:rPr>
                        <w:drawing>
                          <wp:inline distT="0" distB="0" distL="0" distR="0" wp14:anchorId="44357BF3" wp14:editId="52E0E64E">
                            <wp:extent cx="2141220" cy="471170"/>
                            <wp:effectExtent l="0" t="0" r="0" b="5080"/>
                            <wp:docPr id="31" name="Picture 31" descr="York University Logo"/>
                            <wp:cNvGraphicFramePr/>
                            <a:graphic xmlns:a="http://schemas.openxmlformats.org/drawingml/2006/main">
                              <a:graphicData uri="http://schemas.openxmlformats.org/drawingml/2006/picture">
                                <pic:pic xmlns:pic="http://schemas.openxmlformats.org/drawingml/2006/picture">
                                  <pic:nvPicPr>
                                    <pic:cNvPr id="31" name="Picture 31" descr="York University Logo"/>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141220" cy="471170"/>
                                    </a:xfrm>
                                    <a:prstGeom prst="rect">
                                      <a:avLst/>
                                    </a:prstGeom>
                                  </pic:spPr>
                                </pic:pic>
                              </a:graphicData>
                            </a:graphic>
                          </wp:inline>
                        </w:drawing>
                      </w:r>
                    </w:p>
                  </w:txbxContent>
                </v:textbox>
                <w10:anchorlock/>
              </v:shape>
            </w:pict>
          </mc:Fallback>
        </mc:AlternateContent>
      </w:r>
      <w:r w:rsidRPr="00D06382">
        <w:rPr>
          <w:rFonts w:cs="Times New Roman"/>
          <w:noProof/>
        </w:rPr>
        <w:br w:type="page"/>
      </w:r>
    </w:p>
    <w:bookmarkStart w:id="0" w:name="_Hlk185366370" w:displacedByCustomXml="next"/>
    <w:sdt>
      <w:sdtPr>
        <w:rPr>
          <w:rFonts w:asciiTheme="minorHAnsi" w:eastAsia="Times New Roman" w:hAnsiTheme="minorHAnsi" w:cs="Times New Roman"/>
          <w:b/>
          <w:bCs/>
          <w:color w:val="auto"/>
          <w:sz w:val="22"/>
          <w:szCs w:val="22"/>
          <w:lang w:val="en-CA"/>
        </w:rPr>
        <w:id w:val="-684977581"/>
        <w:docPartObj>
          <w:docPartGallery w:val="Table of Contents"/>
          <w:docPartUnique/>
        </w:docPartObj>
      </w:sdtPr>
      <w:sdtEndPr>
        <w:rPr>
          <w:rFonts w:eastAsiaTheme="minorHAnsi"/>
          <w:b w:val="0"/>
          <w:bCs w:val="0"/>
          <w:noProof/>
        </w:rPr>
      </w:sdtEndPr>
      <w:sdtContent>
        <w:p w14:paraId="1876DBFD" w14:textId="77777777" w:rsidR="00052B3F" w:rsidRPr="00294467" w:rsidRDefault="00052B3F" w:rsidP="00052B3F">
          <w:pPr>
            <w:pStyle w:val="TOCHeading"/>
            <w:rPr>
              <w:rStyle w:val="Heading1Char"/>
              <w:rFonts w:asciiTheme="minorHAnsi" w:hAnsiTheme="minorHAnsi" w:cs="Times New Roman"/>
              <w:b/>
              <w:bCs/>
              <w:sz w:val="20"/>
              <w:szCs w:val="20"/>
            </w:rPr>
          </w:pPr>
          <w:r w:rsidRPr="00294467">
            <w:rPr>
              <w:rStyle w:val="Heading1Char"/>
              <w:rFonts w:asciiTheme="minorHAnsi" w:hAnsiTheme="minorHAnsi" w:cs="Times New Roman"/>
              <w:b/>
              <w:bCs/>
              <w:sz w:val="20"/>
              <w:szCs w:val="20"/>
            </w:rPr>
            <w:t>Table of Contents</w:t>
          </w:r>
        </w:p>
        <w:p w14:paraId="08B49282" w14:textId="17F5D12B" w:rsidR="00A50F77" w:rsidRDefault="00052B3F">
          <w:pPr>
            <w:pStyle w:val="TOC1"/>
            <w:tabs>
              <w:tab w:val="right" w:leader="dot" w:pos="9350"/>
            </w:tabs>
            <w:rPr>
              <w:rFonts w:eastAsiaTheme="minorEastAsia"/>
              <w:noProof/>
              <w:kern w:val="2"/>
              <w:sz w:val="24"/>
              <w:szCs w:val="24"/>
              <w14:ligatures w14:val="standardContextual"/>
            </w:rPr>
          </w:pPr>
          <w:r w:rsidRPr="00294467">
            <w:rPr>
              <w:rFonts w:cs="Times New Roman"/>
              <w:b/>
              <w:bCs/>
              <w:i/>
              <w:iCs/>
              <w:sz w:val="15"/>
              <w:szCs w:val="15"/>
            </w:rPr>
            <w:fldChar w:fldCharType="begin"/>
          </w:r>
          <w:r w:rsidRPr="00294467">
            <w:rPr>
              <w:rFonts w:cs="Times New Roman"/>
              <w:b/>
              <w:bCs/>
              <w:sz w:val="15"/>
              <w:szCs w:val="15"/>
            </w:rPr>
            <w:instrText xml:space="preserve"> TOC \o "1-3" \h \z \u </w:instrText>
          </w:r>
          <w:r w:rsidRPr="00294467">
            <w:rPr>
              <w:rFonts w:cs="Times New Roman"/>
              <w:b/>
              <w:bCs/>
              <w:i/>
              <w:iCs/>
              <w:sz w:val="15"/>
              <w:szCs w:val="15"/>
            </w:rPr>
            <w:fldChar w:fldCharType="separate"/>
          </w:r>
          <w:hyperlink w:anchor="_Toc202742966" w:history="1">
            <w:r w:rsidR="00A50F77" w:rsidRPr="00141975">
              <w:rPr>
                <w:rStyle w:val="Hyperlink"/>
                <w:noProof/>
              </w:rPr>
              <w:t>List of Abbreviations</w:t>
            </w:r>
            <w:r w:rsidR="00A50F77">
              <w:rPr>
                <w:noProof/>
                <w:webHidden/>
              </w:rPr>
              <w:tab/>
            </w:r>
            <w:r w:rsidR="00A50F77">
              <w:rPr>
                <w:noProof/>
                <w:webHidden/>
              </w:rPr>
              <w:fldChar w:fldCharType="begin"/>
            </w:r>
            <w:r w:rsidR="00A50F77">
              <w:rPr>
                <w:noProof/>
                <w:webHidden/>
              </w:rPr>
              <w:instrText xml:space="preserve"> PAGEREF _Toc202742966 \h </w:instrText>
            </w:r>
            <w:r w:rsidR="00A50F77">
              <w:rPr>
                <w:noProof/>
                <w:webHidden/>
              </w:rPr>
            </w:r>
            <w:r w:rsidR="00A50F77">
              <w:rPr>
                <w:noProof/>
                <w:webHidden/>
              </w:rPr>
              <w:fldChar w:fldCharType="separate"/>
            </w:r>
            <w:r w:rsidR="00A50F77">
              <w:rPr>
                <w:noProof/>
                <w:webHidden/>
              </w:rPr>
              <w:t>4</w:t>
            </w:r>
            <w:r w:rsidR="00A50F77">
              <w:rPr>
                <w:noProof/>
                <w:webHidden/>
              </w:rPr>
              <w:fldChar w:fldCharType="end"/>
            </w:r>
          </w:hyperlink>
        </w:p>
        <w:p w14:paraId="12652A3F" w14:textId="062F73F6" w:rsidR="00A50F77" w:rsidRDefault="00A50F77">
          <w:pPr>
            <w:pStyle w:val="TOC1"/>
            <w:tabs>
              <w:tab w:val="right" w:leader="dot" w:pos="9350"/>
            </w:tabs>
            <w:rPr>
              <w:rFonts w:eastAsiaTheme="minorEastAsia"/>
              <w:noProof/>
              <w:kern w:val="2"/>
              <w:sz w:val="24"/>
              <w:szCs w:val="24"/>
              <w14:ligatures w14:val="standardContextual"/>
            </w:rPr>
          </w:pPr>
          <w:hyperlink w:anchor="_Toc202742967" w:history="1">
            <w:r w:rsidRPr="00141975">
              <w:rPr>
                <w:rStyle w:val="Hyperlink"/>
                <w:noProof/>
              </w:rPr>
              <w:t>Glossary of Terms</w:t>
            </w:r>
            <w:r>
              <w:rPr>
                <w:noProof/>
                <w:webHidden/>
              </w:rPr>
              <w:tab/>
            </w:r>
            <w:r>
              <w:rPr>
                <w:noProof/>
                <w:webHidden/>
              </w:rPr>
              <w:fldChar w:fldCharType="begin"/>
            </w:r>
            <w:r>
              <w:rPr>
                <w:noProof/>
                <w:webHidden/>
              </w:rPr>
              <w:instrText xml:space="preserve"> PAGEREF _Toc202742967 \h </w:instrText>
            </w:r>
            <w:r>
              <w:rPr>
                <w:noProof/>
                <w:webHidden/>
              </w:rPr>
            </w:r>
            <w:r>
              <w:rPr>
                <w:noProof/>
                <w:webHidden/>
              </w:rPr>
              <w:fldChar w:fldCharType="separate"/>
            </w:r>
            <w:r>
              <w:rPr>
                <w:noProof/>
                <w:webHidden/>
              </w:rPr>
              <w:t>7</w:t>
            </w:r>
            <w:r>
              <w:rPr>
                <w:noProof/>
                <w:webHidden/>
              </w:rPr>
              <w:fldChar w:fldCharType="end"/>
            </w:r>
          </w:hyperlink>
        </w:p>
        <w:p w14:paraId="4E125C06" w14:textId="06581AEC" w:rsidR="00A50F77" w:rsidRDefault="00A50F77">
          <w:pPr>
            <w:pStyle w:val="TOC1"/>
            <w:tabs>
              <w:tab w:val="right" w:leader="dot" w:pos="9350"/>
            </w:tabs>
            <w:rPr>
              <w:rFonts w:eastAsiaTheme="minorEastAsia"/>
              <w:noProof/>
              <w:kern w:val="2"/>
              <w:sz w:val="24"/>
              <w:szCs w:val="24"/>
              <w14:ligatures w14:val="standardContextual"/>
            </w:rPr>
          </w:pPr>
          <w:hyperlink w:anchor="_Toc202742968" w:history="1">
            <w:r w:rsidRPr="00141975">
              <w:rPr>
                <w:rStyle w:val="Hyperlink"/>
                <w:noProof/>
              </w:rPr>
              <w:t>Executive Summary</w:t>
            </w:r>
            <w:r>
              <w:rPr>
                <w:noProof/>
                <w:webHidden/>
              </w:rPr>
              <w:tab/>
            </w:r>
            <w:r>
              <w:rPr>
                <w:noProof/>
                <w:webHidden/>
              </w:rPr>
              <w:fldChar w:fldCharType="begin"/>
            </w:r>
            <w:r>
              <w:rPr>
                <w:noProof/>
                <w:webHidden/>
              </w:rPr>
              <w:instrText xml:space="preserve"> PAGEREF _Toc202742968 \h </w:instrText>
            </w:r>
            <w:r>
              <w:rPr>
                <w:noProof/>
                <w:webHidden/>
              </w:rPr>
            </w:r>
            <w:r>
              <w:rPr>
                <w:noProof/>
                <w:webHidden/>
              </w:rPr>
              <w:fldChar w:fldCharType="separate"/>
            </w:r>
            <w:r>
              <w:rPr>
                <w:noProof/>
                <w:webHidden/>
              </w:rPr>
              <w:t>14</w:t>
            </w:r>
            <w:r>
              <w:rPr>
                <w:noProof/>
                <w:webHidden/>
              </w:rPr>
              <w:fldChar w:fldCharType="end"/>
            </w:r>
          </w:hyperlink>
        </w:p>
        <w:p w14:paraId="3161214E" w14:textId="0AF97A16" w:rsidR="00A50F77" w:rsidRDefault="00A50F77">
          <w:pPr>
            <w:pStyle w:val="TOC1"/>
            <w:tabs>
              <w:tab w:val="right" w:leader="dot" w:pos="9350"/>
            </w:tabs>
            <w:rPr>
              <w:rFonts w:eastAsiaTheme="minorEastAsia"/>
              <w:noProof/>
              <w:kern w:val="2"/>
              <w:sz w:val="24"/>
              <w:szCs w:val="24"/>
              <w14:ligatures w14:val="standardContextual"/>
            </w:rPr>
          </w:pPr>
          <w:hyperlink w:anchor="_Toc202742969" w:history="1">
            <w:r w:rsidRPr="00141975">
              <w:rPr>
                <w:rStyle w:val="Hyperlink"/>
                <w:noProof/>
              </w:rPr>
              <w:t>Introduction</w:t>
            </w:r>
            <w:r>
              <w:rPr>
                <w:noProof/>
                <w:webHidden/>
              </w:rPr>
              <w:tab/>
            </w:r>
            <w:r>
              <w:rPr>
                <w:noProof/>
                <w:webHidden/>
              </w:rPr>
              <w:fldChar w:fldCharType="begin"/>
            </w:r>
            <w:r>
              <w:rPr>
                <w:noProof/>
                <w:webHidden/>
              </w:rPr>
              <w:instrText xml:space="preserve"> PAGEREF _Toc202742969 \h </w:instrText>
            </w:r>
            <w:r>
              <w:rPr>
                <w:noProof/>
                <w:webHidden/>
              </w:rPr>
            </w:r>
            <w:r>
              <w:rPr>
                <w:noProof/>
                <w:webHidden/>
              </w:rPr>
              <w:fldChar w:fldCharType="separate"/>
            </w:r>
            <w:r>
              <w:rPr>
                <w:noProof/>
                <w:webHidden/>
              </w:rPr>
              <w:t>16</w:t>
            </w:r>
            <w:r>
              <w:rPr>
                <w:noProof/>
                <w:webHidden/>
              </w:rPr>
              <w:fldChar w:fldCharType="end"/>
            </w:r>
          </w:hyperlink>
        </w:p>
        <w:p w14:paraId="76477FFB" w14:textId="21C40564" w:rsidR="00A50F77" w:rsidRDefault="00A50F77">
          <w:pPr>
            <w:pStyle w:val="TOC2"/>
            <w:tabs>
              <w:tab w:val="right" w:leader="dot" w:pos="9350"/>
            </w:tabs>
            <w:rPr>
              <w:rFonts w:eastAsiaTheme="minorEastAsia"/>
              <w:noProof/>
              <w:kern w:val="2"/>
              <w:sz w:val="24"/>
              <w:szCs w:val="24"/>
              <w14:ligatures w14:val="standardContextual"/>
            </w:rPr>
          </w:pPr>
          <w:hyperlink w:anchor="_Toc202742970" w:history="1">
            <w:r w:rsidRPr="00141975">
              <w:rPr>
                <w:rStyle w:val="Hyperlink"/>
                <w:noProof/>
              </w:rPr>
              <w:t>Business Case for Bespoke Building Strategy</w:t>
            </w:r>
            <w:r>
              <w:rPr>
                <w:noProof/>
                <w:webHidden/>
              </w:rPr>
              <w:tab/>
            </w:r>
            <w:r>
              <w:rPr>
                <w:noProof/>
                <w:webHidden/>
              </w:rPr>
              <w:fldChar w:fldCharType="begin"/>
            </w:r>
            <w:r>
              <w:rPr>
                <w:noProof/>
                <w:webHidden/>
              </w:rPr>
              <w:instrText xml:space="preserve"> PAGEREF _Toc202742970 \h </w:instrText>
            </w:r>
            <w:r>
              <w:rPr>
                <w:noProof/>
                <w:webHidden/>
              </w:rPr>
            </w:r>
            <w:r>
              <w:rPr>
                <w:noProof/>
                <w:webHidden/>
              </w:rPr>
              <w:fldChar w:fldCharType="separate"/>
            </w:r>
            <w:r>
              <w:rPr>
                <w:noProof/>
                <w:webHidden/>
              </w:rPr>
              <w:t>16</w:t>
            </w:r>
            <w:r>
              <w:rPr>
                <w:noProof/>
                <w:webHidden/>
              </w:rPr>
              <w:fldChar w:fldCharType="end"/>
            </w:r>
          </w:hyperlink>
        </w:p>
        <w:p w14:paraId="3005A770" w14:textId="071AA183" w:rsidR="00A50F77" w:rsidRDefault="00A50F77">
          <w:pPr>
            <w:pStyle w:val="TOC1"/>
            <w:tabs>
              <w:tab w:val="right" w:leader="dot" w:pos="9350"/>
            </w:tabs>
            <w:rPr>
              <w:rFonts w:eastAsiaTheme="minorEastAsia"/>
              <w:noProof/>
              <w:kern w:val="2"/>
              <w:sz w:val="24"/>
              <w:szCs w:val="24"/>
              <w14:ligatures w14:val="standardContextual"/>
            </w:rPr>
          </w:pPr>
          <w:hyperlink w:anchor="_Toc202742971" w:history="1">
            <w:r w:rsidRPr="00141975">
              <w:rPr>
                <w:rStyle w:val="Hyperlink"/>
                <w:noProof/>
              </w:rPr>
              <w:t>Literature Review</w:t>
            </w:r>
            <w:r>
              <w:rPr>
                <w:noProof/>
                <w:webHidden/>
              </w:rPr>
              <w:tab/>
            </w:r>
            <w:r>
              <w:rPr>
                <w:noProof/>
                <w:webHidden/>
              </w:rPr>
              <w:fldChar w:fldCharType="begin"/>
            </w:r>
            <w:r>
              <w:rPr>
                <w:noProof/>
                <w:webHidden/>
              </w:rPr>
              <w:instrText xml:space="preserve"> PAGEREF _Toc202742971 \h </w:instrText>
            </w:r>
            <w:r>
              <w:rPr>
                <w:noProof/>
                <w:webHidden/>
              </w:rPr>
            </w:r>
            <w:r>
              <w:rPr>
                <w:noProof/>
                <w:webHidden/>
              </w:rPr>
              <w:fldChar w:fldCharType="separate"/>
            </w:r>
            <w:r>
              <w:rPr>
                <w:noProof/>
                <w:webHidden/>
              </w:rPr>
              <w:t>18</w:t>
            </w:r>
            <w:r>
              <w:rPr>
                <w:noProof/>
                <w:webHidden/>
              </w:rPr>
              <w:fldChar w:fldCharType="end"/>
            </w:r>
          </w:hyperlink>
        </w:p>
        <w:p w14:paraId="63F532B3" w14:textId="1B7A0726" w:rsidR="00A50F77" w:rsidRDefault="00A50F77">
          <w:pPr>
            <w:pStyle w:val="TOC2"/>
            <w:tabs>
              <w:tab w:val="right" w:leader="dot" w:pos="9350"/>
            </w:tabs>
            <w:rPr>
              <w:rFonts w:eastAsiaTheme="minorEastAsia"/>
              <w:noProof/>
              <w:kern w:val="2"/>
              <w:sz w:val="24"/>
              <w:szCs w:val="24"/>
              <w14:ligatures w14:val="standardContextual"/>
            </w:rPr>
          </w:pPr>
          <w:hyperlink w:anchor="_Toc202742972" w:history="1">
            <w:r w:rsidRPr="00141975">
              <w:rPr>
                <w:rStyle w:val="Hyperlink"/>
                <w:noProof/>
              </w:rPr>
              <w:t>Green Building Standards and Certification Systems</w:t>
            </w:r>
            <w:r>
              <w:rPr>
                <w:noProof/>
                <w:webHidden/>
              </w:rPr>
              <w:tab/>
            </w:r>
            <w:r>
              <w:rPr>
                <w:noProof/>
                <w:webHidden/>
              </w:rPr>
              <w:fldChar w:fldCharType="begin"/>
            </w:r>
            <w:r>
              <w:rPr>
                <w:noProof/>
                <w:webHidden/>
              </w:rPr>
              <w:instrText xml:space="preserve"> PAGEREF _Toc202742972 \h </w:instrText>
            </w:r>
            <w:r>
              <w:rPr>
                <w:noProof/>
                <w:webHidden/>
              </w:rPr>
            </w:r>
            <w:r>
              <w:rPr>
                <w:noProof/>
                <w:webHidden/>
              </w:rPr>
              <w:fldChar w:fldCharType="separate"/>
            </w:r>
            <w:r>
              <w:rPr>
                <w:noProof/>
                <w:webHidden/>
              </w:rPr>
              <w:t>18</w:t>
            </w:r>
            <w:r>
              <w:rPr>
                <w:noProof/>
                <w:webHidden/>
              </w:rPr>
              <w:fldChar w:fldCharType="end"/>
            </w:r>
          </w:hyperlink>
        </w:p>
        <w:p w14:paraId="50A6F403" w14:textId="0EA7CCDE" w:rsidR="00A50F77" w:rsidRDefault="00A50F77">
          <w:pPr>
            <w:pStyle w:val="TOC1"/>
            <w:tabs>
              <w:tab w:val="right" w:leader="dot" w:pos="9350"/>
            </w:tabs>
            <w:rPr>
              <w:rFonts w:eastAsiaTheme="minorEastAsia"/>
              <w:noProof/>
              <w:kern w:val="2"/>
              <w:sz w:val="24"/>
              <w:szCs w:val="24"/>
              <w14:ligatures w14:val="standardContextual"/>
            </w:rPr>
          </w:pPr>
          <w:hyperlink w:anchor="_Toc202742973" w:history="1">
            <w:r w:rsidRPr="00141975">
              <w:rPr>
                <w:rStyle w:val="Hyperlink"/>
                <w:rFonts w:eastAsia="Times New Roman"/>
                <w:noProof/>
              </w:rPr>
              <w:t>Health Promotion and Green Building: York University’s Okanagan Charter Commitments</w:t>
            </w:r>
            <w:r>
              <w:rPr>
                <w:noProof/>
                <w:webHidden/>
              </w:rPr>
              <w:tab/>
            </w:r>
            <w:r>
              <w:rPr>
                <w:noProof/>
                <w:webHidden/>
              </w:rPr>
              <w:fldChar w:fldCharType="begin"/>
            </w:r>
            <w:r>
              <w:rPr>
                <w:noProof/>
                <w:webHidden/>
              </w:rPr>
              <w:instrText xml:space="preserve"> PAGEREF _Toc202742973 \h </w:instrText>
            </w:r>
            <w:r>
              <w:rPr>
                <w:noProof/>
                <w:webHidden/>
              </w:rPr>
            </w:r>
            <w:r>
              <w:rPr>
                <w:noProof/>
                <w:webHidden/>
              </w:rPr>
              <w:fldChar w:fldCharType="separate"/>
            </w:r>
            <w:r>
              <w:rPr>
                <w:noProof/>
                <w:webHidden/>
              </w:rPr>
              <w:t>19</w:t>
            </w:r>
            <w:r>
              <w:rPr>
                <w:noProof/>
                <w:webHidden/>
              </w:rPr>
              <w:fldChar w:fldCharType="end"/>
            </w:r>
          </w:hyperlink>
        </w:p>
        <w:p w14:paraId="2FEC0204" w14:textId="640FAB62" w:rsidR="00A50F77" w:rsidRDefault="00A50F77">
          <w:pPr>
            <w:pStyle w:val="TOC1"/>
            <w:tabs>
              <w:tab w:val="right" w:leader="dot" w:pos="9350"/>
            </w:tabs>
            <w:rPr>
              <w:rFonts w:eastAsiaTheme="minorEastAsia"/>
              <w:noProof/>
              <w:kern w:val="2"/>
              <w:sz w:val="24"/>
              <w:szCs w:val="24"/>
              <w14:ligatures w14:val="standardContextual"/>
            </w:rPr>
          </w:pPr>
          <w:hyperlink w:anchor="_Toc202742974" w:history="1">
            <w:r w:rsidRPr="00141975">
              <w:rPr>
                <w:rStyle w:val="Hyperlink"/>
                <w:noProof/>
              </w:rPr>
              <w:t>The Case of Universities</w:t>
            </w:r>
            <w:r>
              <w:rPr>
                <w:noProof/>
                <w:webHidden/>
              </w:rPr>
              <w:tab/>
            </w:r>
            <w:r>
              <w:rPr>
                <w:noProof/>
                <w:webHidden/>
              </w:rPr>
              <w:fldChar w:fldCharType="begin"/>
            </w:r>
            <w:r>
              <w:rPr>
                <w:noProof/>
                <w:webHidden/>
              </w:rPr>
              <w:instrText xml:space="preserve"> PAGEREF _Toc202742974 \h </w:instrText>
            </w:r>
            <w:r>
              <w:rPr>
                <w:noProof/>
                <w:webHidden/>
              </w:rPr>
            </w:r>
            <w:r>
              <w:rPr>
                <w:noProof/>
                <w:webHidden/>
              </w:rPr>
              <w:fldChar w:fldCharType="separate"/>
            </w:r>
            <w:r>
              <w:rPr>
                <w:noProof/>
                <w:webHidden/>
              </w:rPr>
              <w:t>21</w:t>
            </w:r>
            <w:r>
              <w:rPr>
                <w:noProof/>
                <w:webHidden/>
              </w:rPr>
              <w:fldChar w:fldCharType="end"/>
            </w:r>
          </w:hyperlink>
        </w:p>
        <w:p w14:paraId="0C160EA6" w14:textId="431D3069" w:rsidR="00A50F77" w:rsidRDefault="00A50F77">
          <w:pPr>
            <w:pStyle w:val="TOC3"/>
            <w:tabs>
              <w:tab w:val="right" w:leader="dot" w:pos="9350"/>
            </w:tabs>
            <w:rPr>
              <w:rFonts w:eastAsiaTheme="minorEastAsia"/>
              <w:noProof/>
              <w:kern w:val="2"/>
              <w:sz w:val="24"/>
              <w:szCs w:val="24"/>
              <w14:ligatures w14:val="standardContextual"/>
            </w:rPr>
          </w:pPr>
          <w:hyperlink w:anchor="_Toc202742975" w:history="1">
            <w:r w:rsidRPr="00141975">
              <w:rPr>
                <w:rStyle w:val="Hyperlink"/>
                <w:noProof/>
              </w:rPr>
              <w:t>Sustainability Strategies in Higher Education</w:t>
            </w:r>
            <w:r>
              <w:rPr>
                <w:noProof/>
                <w:webHidden/>
              </w:rPr>
              <w:tab/>
            </w:r>
            <w:r>
              <w:rPr>
                <w:noProof/>
                <w:webHidden/>
              </w:rPr>
              <w:fldChar w:fldCharType="begin"/>
            </w:r>
            <w:r>
              <w:rPr>
                <w:noProof/>
                <w:webHidden/>
              </w:rPr>
              <w:instrText xml:space="preserve"> PAGEREF _Toc202742975 \h </w:instrText>
            </w:r>
            <w:r>
              <w:rPr>
                <w:noProof/>
                <w:webHidden/>
              </w:rPr>
            </w:r>
            <w:r>
              <w:rPr>
                <w:noProof/>
                <w:webHidden/>
              </w:rPr>
              <w:fldChar w:fldCharType="separate"/>
            </w:r>
            <w:r>
              <w:rPr>
                <w:noProof/>
                <w:webHidden/>
              </w:rPr>
              <w:t>21</w:t>
            </w:r>
            <w:r>
              <w:rPr>
                <w:noProof/>
                <w:webHidden/>
              </w:rPr>
              <w:fldChar w:fldCharType="end"/>
            </w:r>
          </w:hyperlink>
        </w:p>
        <w:p w14:paraId="453CBCD0" w14:textId="3FDCB3ED" w:rsidR="00A50F77" w:rsidRDefault="00A50F77">
          <w:pPr>
            <w:pStyle w:val="TOC3"/>
            <w:tabs>
              <w:tab w:val="right" w:leader="dot" w:pos="9350"/>
            </w:tabs>
            <w:rPr>
              <w:rFonts w:eastAsiaTheme="minorEastAsia"/>
              <w:noProof/>
              <w:kern w:val="2"/>
              <w:sz w:val="24"/>
              <w:szCs w:val="24"/>
              <w14:ligatures w14:val="standardContextual"/>
            </w:rPr>
          </w:pPr>
          <w:hyperlink w:anchor="_Toc202742976" w:history="1">
            <w:r w:rsidRPr="00141975">
              <w:rPr>
                <w:rStyle w:val="Hyperlink"/>
                <w:rFonts w:cs="Times New Roman"/>
                <w:noProof/>
              </w:rPr>
              <w:t>Energy Efficiency and Carbon Reduction</w:t>
            </w:r>
            <w:r>
              <w:rPr>
                <w:noProof/>
                <w:webHidden/>
              </w:rPr>
              <w:tab/>
            </w:r>
            <w:r>
              <w:rPr>
                <w:noProof/>
                <w:webHidden/>
              </w:rPr>
              <w:fldChar w:fldCharType="begin"/>
            </w:r>
            <w:r>
              <w:rPr>
                <w:noProof/>
                <w:webHidden/>
              </w:rPr>
              <w:instrText xml:space="preserve"> PAGEREF _Toc202742976 \h </w:instrText>
            </w:r>
            <w:r>
              <w:rPr>
                <w:noProof/>
                <w:webHidden/>
              </w:rPr>
            </w:r>
            <w:r>
              <w:rPr>
                <w:noProof/>
                <w:webHidden/>
              </w:rPr>
              <w:fldChar w:fldCharType="separate"/>
            </w:r>
            <w:r>
              <w:rPr>
                <w:noProof/>
                <w:webHidden/>
              </w:rPr>
              <w:t>22</w:t>
            </w:r>
            <w:r>
              <w:rPr>
                <w:noProof/>
                <w:webHidden/>
              </w:rPr>
              <w:fldChar w:fldCharType="end"/>
            </w:r>
          </w:hyperlink>
        </w:p>
        <w:p w14:paraId="46244E7B" w14:textId="4D280407" w:rsidR="00A50F77" w:rsidRDefault="00A50F77">
          <w:pPr>
            <w:pStyle w:val="TOC3"/>
            <w:tabs>
              <w:tab w:val="right" w:leader="dot" w:pos="9350"/>
            </w:tabs>
            <w:rPr>
              <w:rFonts w:eastAsiaTheme="minorEastAsia"/>
              <w:noProof/>
              <w:kern w:val="2"/>
              <w:sz w:val="24"/>
              <w:szCs w:val="24"/>
              <w14:ligatures w14:val="standardContextual"/>
            </w:rPr>
          </w:pPr>
          <w:hyperlink w:anchor="_Toc202742977" w:history="1">
            <w:r w:rsidRPr="00141975">
              <w:rPr>
                <w:rStyle w:val="Hyperlink"/>
                <w:rFonts w:cs="Times New Roman"/>
                <w:noProof/>
              </w:rPr>
              <w:t>Indoor Environmental Quality and Occupant Well-being</w:t>
            </w:r>
            <w:r>
              <w:rPr>
                <w:noProof/>
                <w:webHidden/>
              </w:rPr>
              <w:tab/>
            </w:r>
            <w:r>
              <w:rPr>
                <w:noProof/>
                <w:webHidden/>
              </w:rPr>
              <w:fldChar w:fldCharType="begin"/>
            </w:r>
            <w:r>
              <w:rPr>
                <w:noProof/>
                <w:webHidden/>
              </w:rPr>
              <w:instrText xml:space="preserve"> PAGEREF _Toc202742977 \h </w:instrText>
            </w:r>
            <w:r>
              <w:rPr>
                <w:noProof/>
                <w:webHidden/>
              </w:rPr>
            </w:r>
            <w:r>
              <w:rPr>
                <w:noProof/>
                <w:webHidden/>
              </w:rPr>
              <w:fldChar w:fldCharType="separate"/>
            </w:r>
            <w:r>
              <w:rPr>
                <w:noProof/>
                <w:webHidden/>
              </w:rPr>
              <w:t>22</w:t>
            </w:r>
            <w:r>
              <w:rPr>
                <w:noProof/>
                <w:webHidden/>
              </w:rPr>
              <w:fldChar w:fldCharType="end"/>
            </w:r>
          </w:hyperlink>
        </w:p>
        <w:p w14:paraId="79E39321" w14:textId="1CC1DB39" w:rsidR="00A50F77" w:rsidRDefault="00A50F77">
          <w:pPr>
            <w:pStyle w:val="TOC3"/>
            <w:tabs>
              <w:tab w:val="right" w:leader="dot" w:pos="9350"/>
            </w:tabs>
            <w:rPr>
              <w:rFonts w:eastAsiaTheme="minorEastAsia"/>
              <w:noProof/>
              <w:kern w:val="2"/>
              <w:sz w:val="24"/>
              <w:szCs w:val="24"/>
              <w14:ligatures w14:val="standardContextual"/>
            </w:rPr>
          </w:pPr>
          <w:hyperlink w:anchor="_Toc202742978" w:history="1">
            <w:r w:rsidRPr="00141975">
              <w:rPr>
                <w:rStyle w:val="Hyperlink"/>
                <w:rFonts w:cs="Times New Roman"/>
                <w:noProof/>
              </w:rPr>
              <w:t>Materials and Resources</w:t>
            </w:r>
            <w:r>
              <w:rPr>
                <w:noProof/>
                <w:webHidden/>
              </w:rPr>
              <w:tab/>
            </w:r>
            <w:r>
              <w:rPr>
                <w:noProof/>
                <w:webHidden/>
              </w:rPr>
              <w:fldChar w:fldCharType="begin"/>
            </w:r>
            <w:r>
              <w:rPr>
                <w:noProof/>
                <w:webHidden/>
              </w:rPr>
              <w:instrText xml:space="preserve"> PAGEREF _Toc202742978 \h </w:instrText>
            </w:r>
            <w:r>
              <w:rPr>
                <w:noProof/>
                <w:webHidden/>
              </w:rPr>
            </w:r>
            <w:r>
              <w:rPr>
                <w:noProof/>
                <w:webHidden/>
              </w:rPr>
              <w:fldChar w:fldCharType="separate"/>
            </w:r>
            <w:r>
              <w:rPr>
                <w:noProof/>
                <w:webHidden/>
              </w:rPr>
              <w:t>23</w:t>
            </w:r>
            <w:r>
              <w:rPr>
                <w:noProof/>
                <w:webHidden/>
              </w:rPr>
              <w:fldChar w:fldCharType="end"/>
            </w:r>
          </w:hyperlink>
        </w:p>
        <w:p w14:paraId="2A906003" w14:textId="30EED53B" w:rsidR="00A50F77" w:rsidRDefault="00A50F77">
          <w:pPr>
            <w:pStyle w:val="TOC3"/>
            <w:tabs>
              <w:tab w:val="right" w:leader="dot" w:pos="9350"/>
            </w:tabs>
            <w:rPr>
              <w:rFonts w:eastAsiaTheme="minorEastAsia"/>
              <w:noProof/>
              <w:kern w:val="2"/>
              <w:sz w:val="24"/>
              <w:szCs w:val="24"/>
              <w14:ligatures w14:val="standardContextual"/>
            </w:rPr>
          </w:pPr>
          <w:hyperlink w:anchor="_Toc202742979" w:history="1">
            <w:r w:rsidRPr="00141975">
              <w:rPr>
                <w:rStyle w:val="Hyperlink"/>
                <w:rFonts w:cs="Times New Roman"/>
                <w:noProof/>
              </w:rPr>
              <w:t>Stakeholder Engagement and Education</w:t>
            </w:r>
            <w:r>
              <w:rPr>
                <w:noProof/>
                <w:webHidden/>
              </w:rPr>
              <w:tab/>
            </w:r>
            <w:r>
              <w:rPr>
                <w:noProof/>
                <w:webHidden/>
              </w:rPr>
              <w:fldChar w:fldCharType="begin"/>
            </w:r>
            <w:r>
              <w:rPr>
                <w:noProof/>
                <w:webHidden/>
              </w:rPr>
              <w:instrText xml:space="preserve"> PAGEREF _Toc202742979 \h </w:instrText>
            </w:r>
            <w:r>
              <w:rPr>
                <w:noProof/>
                <w:webHidden/>
              </w:rPr>
            </w:r>
            <w:r>
              <w:rPr>
                <w:noProof/>
                <w:webHidden/>
              </w:rPr>
              <w:fldChar w:fldCharType="separate"/>
            </w:r>
            <w:r>
              <w:rPr>
                <w:noProof/>
                <w:webHidden/>
              </w:rPr>
              <w:t>23</w:t>
            </w:r>
            <w:r>
              <w:rPr>
                <w:noProof/>
                <w:webHidden/>
              </w:rPr>
              <w:fldChar w:fldCharType="end"/>
            </w:r>
          </w:hyperlink>
        </w:p>
        <w:p w14:paraId="7FC012B3" w14:textId="517B3654" w:rsidR="00A50F77" w:rsidRDefault="00A50F77">
          <w:pPr>
            <w:pStyle w:val="TOC3"/>
            <w:tabs>
              <w:tab w:val="right" w:leader="dot" w:pos="9350"/>
            </w:tabs>
            <w:rPr>
              <w:rFonts w:eastAsiaTheme="minorEastAsia"/>
              <w:noProof/>
              <w:kern w:val="2"/>
              <w:sz w:val="24"/>
              <w:szCs w:val="24"/>
              <w14:ligatures w14:val="standardContextual"/>
            </w:rPr>
          </w:pPr>
          <w:hyperlink w:anchor="_Toc202742980" w:history="1">
            <w:r w:rsidRPr="00141975">
              <w:rPr>
                <w:rStyle w:val="Hyperlink"/>
                <w:rFonts w:cs="Times New Roman"/>
                <w:noProof/>
              </w:rPr>
              <w:t>Water Conservation and Management</w:t>
            </w:r>
            <w:r>
              <w:rPr>
                <w:noProof/>
                <w:webHidden/>
              </w:rPr>
              <w:tab/>
            </w:r>
            <w:r>
              <w:rPr>
                <w:noProof/>
                <w:webHidden/>
              </w:rPr>
              <w:fldChar w:fldCharType="begin"/>
            </w:r>
            <w:r>
              <w:rPr>
                <w:noProof/>
                <w:webHidden/>
              </w:rPr>
              <w:instrText xml:space="preserve"> PAGEREF _Toc202742980 \h </w:instrText>
            </w:r>
            <w:r>
              <w:rPr>
                <w:noProof/>
                <w:webHidden/>
              </w:rPr>
            </w:r>
            <w:r>
              <w:rPr>
                <w:noProof/>
                <w:webHidden/>
              </w:rPr>
              <w:fldChar w:fldCharType="separate"/>
            </w:r>
            <w:r>
              <w:rPr>
                <w:noProof/>
                <w:webHidden/>
              </w:rPr>
              <w:t>23</w:t>
            </w:r>
            <w:r>
              <w:rPr>
                <w:noProof/>
                <w:webHidden/>
              </w:rPr>
              <w:fldChar w:fldCharType="end"/>
            </w:r>
          </w:hyperlink>
        </w:p>
        <w:p w14:paraId="069A6567" w14:textId="761A7924" w:rsidR="00A50F77" w:rsidRDefault="00A50F77">
          <w:pPr>
            <w:pStyle w:val="TOC3"/>
            <w:tabs>
              <w:tab w:val="right" w:leader="dot" w:pos="9350"/>
            </w:tabs>
            <w:rPr>
              <w:rFonts w:eastAsiaTheme="minorEastAsia"/>
              <w:noProof/>
              <w:kern w:val="2"/>
              <w:sz w:val="24"/>
              <w:szCs w:val="24"/>
              <w14:ligatures w14:val="standardContextual"/>
            </w:rPr>
          </w:pPr>
          <w:hyperlink w:anchor="_Toc202742981" w:history="1">
            <w:r w:rsidRPr="00141975">
              <w:rPr>
                <w:rStyle w:val="Hyperlink"/>
                <w:rFonts w:cs="Times New Roman"/>
                <w:noProof/>
              </w:rPr>
              <w:t>Financing and Economic Considerations</w:t>
            </w:r>
            <w:r>
              <w:rPr>
                <w:noProof/>
                <w:webHidden/>
              </w:rPr>
              <w:tab/>
            </w:r>
            <w:r>
              <w:rPr>
                <w:noProof/>
                <w:webHidden/>
              </w:rPr>
              <w:fldChar w:fldCharType="begin"/>
            </w:r>
            <w:r>
              <w:rPr>
                <w:noProof/>
                <w:webHidden/>
              </w:rPr>
              <w:instrText xml:space="preserve"> PAGEREF _Toc202742981 \h </w:instrText>
            </w:r>
            <w:r>
              <w:rPr>
                <w:noProof/>
                <w:webHidden/>
              </w:rPr>
            </w:r>
            <w:r>
              <w:rPr>
                <w:noProof/>
                <w:webHidden/>
              </w:rPr>
              <w:fldChar w:fldCharType="separate"/>
            </w:r>
            <w:r>
              <w:rPr>
                <w:noProof/>
                <w:webHidden/>
              </w:rPr>
              <w:t>24</w:t>
            </w:r>
            <w:r>
              <w:rPr>
                <w:noProof/>
                <w:webHidden/>
              </w:rPr>
              <w:fldChar w:fldCharType="end"/>
            </w:r>
          </w:hyperlink>
        </w:p>
        <w:p w14:paraId="6C30C402" w14:textId="35503708" w:rsidR="00A50F77" w:rsidRDefault="00A50F77">
          <w:pPr>
            <w:pStyle w:val="TOC3"/>
            <w:tabs>
              <w:tab w:val="right" w:leader="dot" w:pos="9350"/>
            </w:tabs>
            <w:rPr>
              <w:rFonts w:eastAsiaTheme="minorEastAsia"/>
              <w:noProof/>
              <w:kern w:val="2"/>
              <w:sz w:val="24"/>
              <w:szCs w:val="24"/>
              <w14:ligatures w14:val="standardContextual"/>
            </w:rPr>
          </w:pPr>
          <w:hyperlink w:anchor="_Toc202742982" w:history="1">
            <w:r w:rsidRPr="00141975">
              <w:rPr>
                <w:rStyle w:val="Hyperlink"/>
                <w:rFonts w:cs="Times New Roman"/>
                <w:noProof/>
              </w:rPr>
              <w:t>Policy and Governance Frameworks</w:t>
            </w:r>
            <w:r>
              <w:rPr>
                <w:noProof/>
                <w:webHidden/>
              </w:rPr>
              <w:tab/>
            </w:r>
            <w:r>
              <w:rPr>
                <w:noProof/>
                <w:webHidden/>
              </w:rPr>
              <w:fldChar w:fldCharType="begin"/>
            </w:r>
            <w:r>
              <w:rPr>
                <w:noProof/>
                <w:webHidden/>
              </w:rPr>
              <w:instrText xml:space="preserve"> PAGEREF _Toc202742982 \h </w:instrText>
            </w:r>
            <w:r>
              <w:rPr>
                <w:noProof/>
                <w:webHidden/>
              </w:rPr>
            </w:r>
            <w:r>
              <w:rPr>
                <w:noProof/>
                <w:webHidden/>
              </w:rPr>
              <w:fldChar w:fldCharType="separate"/>
            </w:r>
            <w:r>
              <w:rPr>
                <w:noProof/>
                <w:webHidden/>
              </w:rPr>
              <w:t>25</w:t>
            </w:r>
            <w:r>
              <w:rPr>
                <w:noProof/>
                <w:webHidden/>
              </w:rPr>
              <w:fldChar w:fldCharType="end"/>
            </w:r>
          </w:hyperlink>
        </w:p>
        <w:p w14:paraId="25DC6548" w14:textId="1ECAE84A" w:rsidR="00A50F77" w:rsidRDefault="00A50F77">
          <w:pPr>
            <w:pStyle w:val="TOC3"/>
            <w:tabs>
              <w:tab w:val="right" w:leader="dot" w:pos="9350"/>
            </w:tabs>
            <w:rPr>
              <w:rFonts w:eastAsiaTheme="minorEastAsia"/>
              <w:noProof/>
              <w:kern w:val="2"/>
              <w:sz w:val="24"/>
              <w:szCs w:val="24"/>
              <w14:ligatures w14:val="standardContextual"/>
            </w:rPr>
          </w:pPr>
          <w:hyperlink w:anchor="_Toc202742983" w:history="1">
            <w:r w:rsidRPr="00141975">
              <w:rPr>
                <w:rStyle w:val="Hyperlink"/>
                <w:rFonts w:cs="Times New Roman"/>
                <w:noProof/>
              </w:rPr>
              <w:t>Monitoring, Reporting, and Continuous Improvement</w:t>
            </w:r>
            <w:r>
              <w:rPr>
                <w:noProof/>
                <w:webHidden/>
              </w:rPr>
              <w:tab/>
            </w:r>
            <w:r>
              <w:rPr>
                <w:noProof/>
                <w:webHidden/>
              </w:rPr>
              <w:fldChar w:fldCharType="begin"/>
            </w:r>
            <w:r>
              <w:rPr>
                <w:noProof/>
                <w:webHidden/>
              </w:rPr>
              <w:instrText xml:space="preserve"> PAGEREF _Toc202742983 \h </w:instrText>
            </w:r>
            <w:r>
              <w:rPr>
                <w:noProof/>
                <w:webHidden/>
              </w:rPr>
            </w:r>
            <w:r>
              <w:rPr>
                <w:noProof/>
                <w:webHidden/>
              </w:rPr>
              <w:fldChar w:fldCharType="separate"/>
            </w:r>
            <w:r>
              <w:rPr>
                <w:noProof/>
                <w:webHidden/>
              </w:rPr>
              <w:t>25</w:t>
            </w:r>
            <w:r>
              <w:rPr>
                <w:noProof/>
                <w:webHidden/>
              </w:rPr>
              <w:fldChar w:fldCharType="end"/>
            </w:r>
          </w:hyperlink>
        </w:p>
        <w:p w14:paraId="13264BDB" w14:textId="118074FD" w:rsidR="00A50F77" w:rsidRDefault="00A50F77">
          <w:pPr>
            <w:pStyle w:val="TOC2"/>
            <w:tabs>
              <w:tab w:val="right" w:leader="dot" w:pos="9350"/>
            </w:tabs>
            <w:rPr>
              <w:rFonts w:eastAsiaTheme="minorEastAsia"/>
              <w:noProof/>
              <w:kern w:val="2"/>
              <w:sz w:val="24"/>
              <w:szCs w:val="24"/>
              <w14:ligatures w14:val="standardContextual"/>
            </w:rPr>
          </w:pPr>
          <w:hyperlink w:anchor="_Toc202742984" w:history="1">
            <w:r w:rsidRPr="00141975">
              <w:rPr>
                <w:rStyle w:val="Hyperlink"/>
                <w:noProof/>
              </w:rPr>
              <w:t>The Sustainability Tracking, Assessment &amp; Rating System (STARS)</w:t>
            </w:r>
            <w:r>
              <w:rPr>
                <w:noProof/>
                <w:webHidden/>
              </w:rPr>
              <w:tab/>
            </w:r>
            <w:r>
              <w:rPr>
                <w:noProof/>
                <w:webHidden/>
              </w:rPr>
              <w:fldChar w:fldCharType="begin"/>
            </w:r>
            <w:r>
              <w:rPr>
                <w:noProof/>
                <w:webHidden/>
              </w:rPr>
              <w:instrText xml:space="preserve"> PAGEREF _Toc202742984 \h </w:instrText>
            </w:r>
            <w:r>
              <w:rPr>
                <w:noProof/>
                <w:webHidden/>
              </w:rPr>
            </w:r>
            <w:r>
              <w:rPr>
                <w:noProof/>
                <w:webHidden/>
              </w:rPr>
              <w:fldChar w:fldCharType="separate"/>
            </w:r>
            <w:r>
              <w:rPr>
                <w:noProof/>
                <w:webHidden/>
              </w:rPr>
              <w:t>25</w:t>
            </w:r>
            <w:r>
              <w:rPr>
                <w:noProof/>
                <w:webHidden/>
              </w:rPr>
              <w:fldChar w:fldCharType="end"/>
            </w:r>
          </w:hyperlink>
        </w:p>
        <w:p w14:paraId="3F38DC16" w14:textId="1F7402D4" w:rsidR="00A50F77" w:rsidRDefault="00A50F77">
          <w:pPr>
            <w:pStyle w:val="TOC2"/>
            <w:tabs>
              <w:tab w:val="right" w:leader="dot" w:pos="9350"/>
            </w:tabs>
            <w:rPr>
              <w:rFonts w:eastAsiaTheme="minorEastAsia"/>
              <w:noProof/>
              <w:kern w:val="2"/>
              <w:sz w:val="24"/>
              <w:szCs w:val="24"/>
              <w14:ligatures w14:val="standardContextual"/>
            </w:rPr>
          </w:pPr>
          <w:hyperlink w:anchor="_Toc202742985" w:history="1">
            <w:r w:rsidRPr="00141975">
              <w:rPr>
                <w:rStyle w:val="Hyperlink"/>
                <w:noProof/>
              </w:rPr>
              <w:t>Times Higher Education (THE) Impact Rankings</w:t>
            </w:r>
            <w:r>
              <w:rPr>
                <w:noProof/>
                <w:webHidden/>
              </w:rPr>
              <w:tab/>
            </w:r>
            <w:r>
              <w:rPr>
                <w:noProof/>
                <w:webHidden/>
              </w:rPr>
              <w:fldChar w:fldCharType="begin"/>
            </w:r>
            <w:r>
              <w:rPr>
                <w:noProof/>
                <w:webHidden/>
              </w:rPr>
              <w:instrText xml:space="preserve"> PAGEREF _Toc202742985 \h </w:instrText>
            </w:r>
            <w:r>
              <w:rPr>
                <w:noProof/>
                <w:webHidden/>
              </w:rPr>
            </w:r>
            <w:r>
              <w:rPr>
                <w:noProof/>
                <w:webHidden/>
              </w:rPr>
              <w:fldChar w:fldCharType="separate"/>
            </w:r>
            <w:r>
              <w:rPr>
                <w:noProof/>
                <w:webHidden/>
              </w:rPr>
              <w:t>27</w:t>
            </w:r>
            <w:r>
              <w:rPr>
                <w:noProof/>
                <w:webHidden/>
              </w:rPr>
              <w:fldChar w:fldCharType="end"/>
            </w:r>
          </w:hyperlink>
        </w:p>
        <w:p w14:paraId="0360156F" w14:textId="6C6FBD5F" w:rsidR="00A50F77" w:rsidRDefault="00A50F77">
          <w:pPr>
            <w:pStyle w:val="TOC1"/>
            <w:tabs>
              <w:tab w:val="right" w:leader="dot" w:pos="9350"/>
            </w:tabs>
            <w:rPr>
              <w:rFonts w:eastAsiaTheme="minorEastAsia"/>
              <w:noProof/>
              <w:kern w:val="2"/>
              <w:sz w:val="24"/>
              <w:szCs w:val="24"/>
              <w14:ligatures w14:val="standardContextual"/>
            </w:rPr>
          </w:pPr>
          <w:hyperlink w:anchor="_Toc202742986" w:history="1">
            <w:r w:rsidRPr="00141975">
              <w:rPr>
                <w:rStyle w:val="Hyperlink"/>
                <w:noProof/>
              </w:rPr>
              <w:t>Methodology</w:t>
            </w:r>
            <w:r>
              <w:rPr>
                <w:noProof/>
                <w:webHidden/>
              </w:rPr>
              <w:tab/>
            </w:r>
            <w:r>
              <w:rPr>
                <w:noProof/>
                <w:webHidden/>
              </w:rPr>
              <w:fldChar w:fldCharType="begin"/>
            </w:r>
            <w:r>
              <w:rPr>
                <w:noProof/>
                <w:webHidden/>
              </w:rPr>
              <w:instrText xml:space="preserve"> PAGEREF _Toc202742986 \h </w:instrText>
            </w:r>
            <w:r>
              <w:rPr>
                <w:noProof/>
                <w:webHidden/>
              </w:rPr>
            </w:r>
            <w:r>
              <w:rPr>
                <w:noProof/>
                <w:webHidden/>
              </w:rPr>
              <w:fldChar w:fldCharType="separate"/>
            </w:r>
            <w:r>
              <w:rPr>
                <w:noProof/>
                <w:webHidden/>
              </w:rPr>
              <w:t>30</w:t>
            </w:r>
            <w:r>
              <w:rPr>
                <w:noProof/>
                <w:webHidden/>
              </w:rPr>
              <w:fldChar w:fldCharType="end"/>
            </w:r>
          </w:hyperlink>
        </w:p>
        <w:p w14:paraId="1822E3D9" w14:textId="20795A6D" w:rsidR="00A50F77" w:rsidRDefault="00A50F77">
          <w:pPr>
            <w:pStyle w:val="TOC2"/>
            <w:tabs>
              <w:tab w:val="right" w:leader="dot" w:pos="9350"/>
            </w:tabs>
            <w:rPr>
              <w:rFonts w:eastAsiaTheme="minorEastAsia"/>
              <w:noProof/>
              <w:kern w:val="2"/>
              <w:sz w:val="24"/>
              <w:szCs w:val="24"/>
              <w14:ligatures w14:val="standardContextual"/>
            </w:rPr>
          </w:pPr>
          <w:hyperlink w:anchor="_Toc202742987" w:history="1">
            <w:r w:rsidRPr="00141975">
              <w:rPr>
                <w:rStyle w:val="Hyperlink"/>
                <w:noProof/>
              </w:rPr>
              <w:t>Green Building Frameworks in Canada</w:t>
            </w:r>
            <w:r>
              <w:rPr>
                <w:noProof/>
                <w:webHidden/>
              </w:rPr>
              <w:tab/>
            </w:r>
            <w:r>
              <w:rPr>
                <w:noProof/>
                <w:webHidden/>
              </w:rPr>
              <w:fldChar w:fldCharType="begin"/>
            </w:r>
            <w:r>
              <w:rPr>
                <w:noProof/>
                <w:webHidden/>
              </w:rPr>
              <w:instrText xml:space="preserve"> PAGEREF _Toc202742987 \h </w:instrText>
            </w:r>
            <w:r>
              <w:rPr>
                <w:noProof/>
                <w:webHidden/>
              </w:rPr>
            </w:r>
            <w:r>
              <w:rPr>
                <w:noProof/>
                <w:webHidden/>
              </w:rPr>
              <w:fldChar w:fldCharType="separate"/>
            </w:r>
            <w:r>
              <w:rPr>
                <w:noProof/>
                <w:webHidden/>
              </w:rPr>
              <w:t>31</w:t>
            </w:r>
            <w:r>
              <w:rPr>
                <w:noProof/>
                <w:webHidden/>
              </w:rPr>
              <w:fldChar w:fldCharType="end"/>
            </w:r>
          </w:hyperlink>
        </w:p>
        <w:p w14:paraId="0D8BA8DE" w14:textId="00F37658" w:rsidR="00A50F77" w:rsidRDefault="00A50F77">
          <w:pPr>
            <w:pStyle w:val="TOC3"/>
            <w:tabs>
              <w:tab w:val="right" w:leader="dot" w:pos="9350"/>
            </w:tabs>
            <w:rPr>
              <w:rFonts w:eastAsiaTheme="minorEastAsia"/>
              <w:noProof/>
              <w:kern w:val="2"/>
              <w:sz w:val="24"/>
              <w:szCs w:val="24"/>
              <w14:ligatures w14:val="standardContextual"/>
            </w:rPr>
          </w:pPr>
          <w:hyperlink w:anchor="_Toc202742988" w:history="1">
            <w:r w:rsidRPr="00141975">
              <w:rPr>
                <w:rStyle w:val="Hyperlink"/>
                <w:noProof/>
              </w:rPr>
              <w:t>Toronto Green Standard (TGS)</w:t>
            </w:r>
            <w:r>
              <w:rPr>
                <w:noProof/>
                <w:webHidden/>
              </w:rPr>
              <w:tab/>
            </w:r>
            <w:r>
              <w:rPr>
                <w:noProof/>
                <w:webHidden/>
              </w:rPr>
              <w:fldChar w:fldCharType="begin"/>
            </w:r>
            <w:r>
              <w:rPr>
                <w:noProof/>
                <w:webHidden/>
              </w:rPr>
              <w:instrText xml:space="preserve"> PAGEREF _Toc202742988 \h </w:instrText>
            </w:r>
            <w:r>
              <w:rPr>
                <w:noProof/>
                <w:webHidden/>
              </w:rPr>
            </w:r>
            <w:r>
              <w:rPr>
                <w:noProof/>
                <w:webHidden/>
              </w:rPr>
              <w:fldChar w:fldCharType="separate"/>
            </w:r>
            <w:r>
              <w:rPr>
                <w:noProof/>
                <w:webHidden/>
              </w:rPr>
              <w:t>31</w:t>
            </w:r>
            <w:r>
              <w:rPr>
                <w:noProof/>
                <w:webHidden/>
              </w:rPr>
              <w:fldChar w:fldCharType="end"/>
            </w:r>
          </w:hyperlink>
        </w:p>
        <w:p w14:paraId="41DA067E" w14:textId="543A900A" w:rsidR="00A50F77" w:rsidRDefault="00A50F77">
          <w:pPr>
            <w:pStyle w:val="TOC3"/>
            <w:tabs>
              <w:tab w:val="right" w:leader="dot" w:pos="9350"/>
            </w:tabs>
            <w:rPr>
              <w:rFonts w:eastAsiaTheme="minorEastAsia"/>
              <w:noProof/>
              <w:kern w:val="2"/>
              <w:sz w:val="24"/>
              <w:szCs w:val="24"/>
              <w14:ligatures w14:val="standardContextual"/>
            </w:rPr>
          </w:pPr>
          <w:hyperlink w:anchor="_Toc202742989" w:history="1">
            <w:r w:rsidRPr="00141975">
              <w:rPr>
                <w:rStyle w:val="Hyperlink"/>
                <w:noProof/>
              </w:rPr>
              <w:t>Requirements for Existing Buildings</w:t>
            </w:r>
            <w:r>
              <w:rPr>
                <w:noProof/>
                <w:webHidden/>
              </w:rPr>
              <w:tab/>
            </w:r>
            <w:r>
              <w:rPr>
                <w:noProof/>
                <w:webHidden/>
              </w:rPr>
              <w:fldChar w:fldCharType="begin"/>
            </w:r>
            <w:r>
              <w:rPr>
                <w:noProof/>
                <w:webHidden/>
              </w:rPr>
              <w:instrText xml:space="preserve"> PAGEREF _Toc202742989 \h </w:instrText>
            </w:r>
            <w:r>
              <w:rPr>
                <w:noProof/>
                <w:webHidden/>
              </w:rPr>
            </w:r>
            <w:r>
              <w:rPr>
                <w:noProof/>
                <w:webHidden/>
              </w:rPr>
              <w:fldChar w:fldCharType="separate"/>
            </w:r>
            <w:r>
              <w:rPr>
                <w:noProof/>
                <w:webHidden/>
              </w:rPr>
              <w:t>34</w:t>
            </w:r>
            <w:r>
              <w:rPr>
                <w:noProof/>
                <w:webHidden/>
              </w:rPr>
              <w:fldChar w:fldCharType="end"/>
            </w:r>
          </w:hyperlink>
        </w:p>
        <w:p w14:paraId="6437F24D" w14:textId="6280DE71" w:rsidR="00A50F77" w:rsidRDefault="00A50F77">
          <w:pPr>
            <w:pStyle w:val="TOC2"/>
            <w:tabs>
              <w:tab w:val="right" w:leader="dot" w:pos="9350"/>
            </w:tabs>
            <w:rPr>
              <w:rFonts w:eastAsiaTheme="minorEastAsia"/>
              <w:noProof/>
              <w:kern w:val="2"/>
              <w:sz w:val="24"/>
              <w:szCs w:val="24"/>
              <w14:ligatures w14:val="standardContextual"/>
            </w:rPr>
          </w:pPr>
          <w:hyperlink w:anchor="_Toc202742990" w:history="1">
            <w:r w:rsidRPr="00141975">
              <w:rPr>
                <w:rStyle w:val="Hyperlink"/>
                <w:noProof/>
              </w:rPr>
              <w:t>International Green Building Standards</w:t>
            </w:r>
            <w:r>
              <w:rPr>
                <w:noProof/>
                <w:webHidden/>
              </w:rPr>
              <w:tab/>
            </w:r>
            <w:r>
              <w:rPr>
                <w:noProof/>
                <w:webHidden/>
              </w:rPr>
              <w:fldChar w:fldCharType="begin"/>
            </w:r>
            <w:r>
              <w:rPr>
                <w:noProof/>
                <w:webHidden/>
              </w:rPr>
              <w:instrText xml:space="preserve"> PAGEREF _Toc202742990 \h </w:instrText>
            </w:r>
            <w:r>
              <w:rPr>
                <w:noProof/>
                <w:webHidden/>
              </w:rPr>
            </w:r>
            <w:r>
              <w:rPr>
                <w:noProof/>
                <w:webHidden/>
              </w:rPr>
              <w:fldChar w:fldCharType="separate"/>
            </w:r>
            <w:r>
              <w:rPr>
                <w:noProof/>
                <w:webHidden/>
              </w:rPr>
              <w:t>37</w:t>
            </w:r>
            <w:r>
              <w:rPr>
                <w:noProof/>
                <w:webHidden/>
              </w:rPr>
              <w:fldChar w:fldCharType="end"/>
            </w:r>
          </w:hyperlink>
        </w:p>
        <w:p w14:paraId="51576EB4" w14:textId="7DCD921C" w:rsidR="00A50F77" w:rsidRDefault="00A50F77">
          <w:pPr>
            <w:pStyle w:val="TOC3"/>
            <w:tabs>
              <w:tab w:val="right" w:leader="dot" w:pos="9350"/>
            </w:tabs>
            <w:rPr>
              <w:rFonts w:eastAsiaTheme="minorEastAsia"/>
              <w:noProof/>
              <w:kern w:val="2"/>
              <w:sz w:val="24"/>
              <w:szCs w:val="24"/>
              <w14:ligatures w14:val="standardContextual"/>
            </w:rPr>
          </w:pPr>
          <w:hyperlink w:anchor="_Toc202742991" w:history="1">
            <w:r w:rsidRPr="00141975">
              <w:rPr>
                <w:rStyle w:val="Hyperlink"/>
                <w:noProof/>
              </w:rPr>
              <w:t>LEED (Leadership in Energy and Environmental Design)</w:t>
            </w:r>
            <w:r>
              <w:rPr>
                <w:noProof/>
                <w:webHidden/>
              </w:rPr>
              <w:tab/>
            </w:r>
            <w:r>
              <w:rPr>
                <w:noProof/>
                <w:webHidden/>
              </w:rPr>
              <w:fldChar w:fldCharType="begin"/>
            </w:r>
            <w:r>
              <w:rPr>
                <w:noProof/>
                <w:webHidden/>
              </w:rPr>
              <w:instrText xml:space="preserve"> PAGEREF _Toc202742991 \h </w:instrText>
            </w:r>
            <w:r>
              <w:rPr>
                <w:noProof/>
                <w:webHidden/>
              </w:rPr>
            </w:r>
            <w:r>
              <w:rPr>
                <w:noProof/>
                <w:webHidden/>
              </w:rPr>
              <w:fldChar w:fldCharType="separate"/>
            </w:r>
            <w:r>
              <w:rPr>
                <w:noProof/>
                <w:webHidden/>
              </w:rPr>
              <w:t>38</w:t>
            </w:r>
            <w:r>
              <w:rPr>
                <w:noProof/>
                <w:webHidden/>
              </w:rPr>
              <w:fldChar w:fldCharType="end"/>
            </w:r>
          </w:hyperlink>
        </w:p>
        <w:p w14:paraId="223EDD76" w14:textId="750C76A9" w:rsidR="00A50F77" w:rsidRDefault="00A50F77">
          <w:pPr>
            <w:pStyle w:val="TOC3"/>
            <w:tabs>
              <w:tab w:val="right" w:leader="dot" w:pos="9350"/>
            </w:tabs>
            <w:rPr>
              <w:rFonts w:eastAsiaTheme="minorEastAsia"/>
              <w:noProof/>
              <w:kern w:val="2"/>
              <w:sz w:val="24"/>
              <w:szCs w:val="24"/>
              <w14:ligatures w14:val="standardContextual"/>
            </w:rPr>
          </w:pPr>
          <w:hyperlink w:anchor="_Toc202742992" w:history="1">
            <w:r w:rsidRPr="00141975">
              <w:rPr>
                <w:rStyle w:val="Hyperlink"/>
                <w:noProof/>
              </w:rPr>
              <w:t>CAGBC Zero Carbon Building Standard</w:t>
            </w:r>
            <w:r>
              <w:rPr>
                <w:noProof/>
                <w:webHidden/>
              </w:rPr>
              <w:tab/>
            </w:r>
            <w:r>
              <w:rPr>
                <w:noProof/>
                <w:webHidden/>
              </w:rPr>
              <w:fldChar w:fldCharType="begin"/>
            </w:r>
            <w:r>
              <w:rPr>
                <w:noProof/>
                <w:webHidden/>
              </w:rPr>
              <w:instrText xml:space="preserve"> PAGEREF _Toc202742992 \h </w:instrText>
            </w:r>
            <w:r>
              <w:rPr>
                <w:noProof/>
                <w:webHidden/>
              </w:rPr>
            </w:r>
            <w:r>
              <w:rPr>
                <w:noProof/>
                <w:webHidden/>
              </w:rPr>
              <w:fldChar w:fldCharType="separate"/>
            </w:r>
            <w:r>
              <w:rPr>
                <w:noProof/>
                <w:webHidden/>
              </w:rPr>
              <w:t>38</w:t>
            </w:r>
            <w:r>
              <w:rPr>
                <w:noProof/>
                <w:webHidden/>
              </w:rPr>
              <w:fldChar w:fldCharType="end"/>
            </w:r>
          </w:hyperlink>
        </w:p>
        <w:p w14:paraId="60C2CB30" w14:textId="4896D6CD" w:rsidR="00A50F77" w:rsidRDefault="00A50F77">
          <w:pPr>
            <w:pStyle w:val="TOC3"/>
            <w:tabs>
              <w:tab w:val="right" w:leader="dot" w:pos="9350"/>
            </w:tabs>
            <w:rPr>
              <w:rFonts w:eastAsiaTheme="minorEastAsia"/>
              <w:noProof/>
              <w:kern w:val="2"/>
              <w:sz w:val="24"/>
              <w:szCs w:val="24"/>
              <w14:ligatures w14:val="standardContextual"/>
            </w:rPr>
          </w:pPr>
          <w:hyperlink w:anchor="_Toc202742993" w:history="1">
            <w:r w:rsidRPr="00141975">
              <w:rPr>
                <w:rStyle w:val="Hyperlink"/>
                <w:noProof/>
              </w:rPr>
              <w:t>Passive House</w:t>
            </w:r>
            <w:r>
              <w:rPr>
                <w:noProof/>
                <w:webHidden/>
              </w:rPr>
              <w:tab/>
            </w:r>
            <w:r>
              <w:rPr>
                <w:noProof/>
                <w:webHidden/>
              </w:rPr>
              <w:fldChar w:fldCharType="begin"/>
            </w:r>
            <w:r>
              <w:rPr>
                <w:noProof/>
                <w:webHidden/>
              </w:rPr>
              <w:instrText xml:space="preserve"> PAGEREF _Toc202742993 \h </w:instrText>
            </w:r>
            <w:r>
              <w:rPr>
                <w:noProof/>
                <w:webHidden/>
              </w:rPr>
            </w:r>
            <w:r>
              <w:rPr>
                <w:noProof/>
                <w:webHidden/>
              </w:rPr>
              <w:fldChar w:fldCharType="separate"/>
            </w:r>
            <w:r>
              <w:rPr>
                <w:noProof/>
                <w:webHidden/>
              </w:rPr>
              <w:t>39</w:t>
            </w:r>
            <w:r>
              <w:rPr>
                <w:noProof/>
                <w:webHidden/>
              </w:rPr>
              <w:fldChar w:fldCharType="end"/>
            </w:r>
          </w:hyperlink>
        </w:p>
        <w:p w14:paraId="2BF9C9AE" w14:textId="77ED88BF" w:rsidR="00A50F77" w:rsidRDefault="00A50F77">
          <w:pPr>
            <w:pStyle w:val="TOC3"/>
            <w:tabs>
              <w:tab w:val="right" w:leader="dot" w:pos="9350"/>
            </w:tabs>
            <w:rPr>
              <w:rFonts w:eastAsiaTheme="minorEastAsia"/>
              <w:noProof/>
              <w:kern w:val="2"/>
              <w:sz w:val="24"/>
              <w:szCs w:val="24"/>
              <w14:ligatures w14:val="standardContextual"/>
            </w:rPr>
          </w:pPr>
          <w:hyperlink w:anchor="_Toc202742994" w:history="1">
            <w:r w:rsidRPr="00141975">
              <w:rPr>
                <w:rStyle w:val="Hyperlink"/>
                <w:noProof/>
              </w:rPr>
              <w:t>BOMA BEST (Building Owners and Managers Association Building Environmental Standards)</w:t>
            </w:r>
            <w:r>
              <w:rPr>
                <w:noProof/>
                <w:webHidden/>
              </w:rPr>
              <w:tab/>
            </w:r>
            <w:r>
              <w:rPr>
                <w:noProof/>
                <w:webHidden/>
              </w:rPr>
              <w:fldChar w:fldCharType="begin"/>
            </w:r>
            <w:r>
              <w:rPr>
                <w:noProof/>
                <w:webHidden/>
              </w:rPr>
              <w:instrText xml:space="preserve"> PAGEREF _Toc202742994 \h </w:instrText>
            </w:r>
            <w:r>
              <w:rPr>
                <w:noProof/>
                <w:webHidden/>
              </w:rPr>
            </w:r>
            <w:r>
              <w:rPr>
                <w:noProof/>
                <w:webHidden/>
              </w:rPr>
              <w:fldChar w:fldCharType="separate"/>
            </w:r>
            <w:r>
              <w:rPr>
                <w:noProof/>
                <w:webHidden/>
              </w:rPr>
              <w:t>40</w:t>
            </w:r>
            <w:r>
              <w:rPr>
                <w:noProof/>
                <w:webHidden/>
              </w:rPr>
              <w:fldChar w:fldCharType="end"/>
            </w:r>
          </w:hyperlink>
        </w:p>
        <w:p w14:paraId="28BAD880" w14:textId="24318FB6" w:rsidR="00A50F77" w:rsidRDefault="00A50F77">
          <w:pPr>
            <w:pStyle w:val="TOC1"/>
            <w:tabs>
              <w:tab w:val="right" w:leader="dot" w:pos="9350"/>
            </w:tabs>
            <w:rPr>
              <w:rFonts w:eastAsiaTheme="minorEastAsia"/>
              <w:noProof/>
              <w:kern w:val="2"/>
              <w:sz w:val="24"/>
              <w:szCs w:val="24"/>
              <w14:ligatures w14:val="standardContextual"/>
            </w:rPr>
          </w:pPr>
          <w:hyperlink w:anchor="_Toc202742995" w:history="1">
            <w:r w:rsidRPr="00141975">
              <w:rPr>
                <w:rStyle w:val="Hyperlink"/>
                <w:noProof/>
              </w:rPr>
              <w:t>Comparative Analysis of Identified Green Building Standards</w:t>
            </w:r>
            <w:r>
              <w:rPr>
                <w:noProof/>
                <w:webHidden/>
              </w:rPr>
              <w:tab/>
            </w:r>
            <w:r>
              <w:rPr>
                <w:noProof/>
                <w:webHidden/>
              </w:rPr>
              <w:fldChar w:fldCharType="begin"/>
            </w:r>
            <w:r>
              <w:rPr>
                <w:noProof/>
                <w:webHidden/>
              </w:rPr>
              <w:instrText xml:space="preserve"> PAGEREF _Toc202742995 \h </w:instrText>
            </w:r>
            <w:r>
              <w:rPr>
                <w:noProof/>
                <w:webHidden/>
              </w:rPr>
            </w:r>
            <w:r>
              <w:rPr>
                <w:noProof/>
                <w:webHidden/>
              </w:rPr>
              <w:fldChar w:fldCharType="separate"/>
            </w:r>
            <w:r>
              <w:rPr>
                <w:noProof/>
                <w:webHidden/>
              </w:rPr>
              <w:t>41</w:t>
            </w:r>
            <w:r>
              <w:rPr>
                <w:noProof/>
                <w:webHidden/>
              </w:rPr>
              <w:fldChar w:fldCharType="end"/>
            </w:r>
          </w:hyperlink>
        </w:p>
        <w:p w14:paraId="23107A7F" w14:textId="1B51C6ED" w:rsidR="00A50F77" w:rsidRDefault="00A50F77">
          <w:pPr>
            <w:pStyle w:val="TOC2"/>
            <w:tabs>
              <w:tab w:val="right" w:leader="dot" w:pos="9350"/>
            </w:tabs>
            <w:rPr>
              <w:rFonts w:eastAsiaTheme="minorEastAsia"/>
              <w:noProof/>
              <w:kern w:val="2"/>
              <w:sz w:val="24"/>
              <w:szCs w:val="24"/>
              <w14:ligatures w14:val="standardContextual"/>
            </w:rPr>
          </w:pPr>
          <w:hyperlink w:anchor="_Toc202742996" w:history="1">
            <w:r w:rsidRPr="00141975">
              <w:rPr>
                <w:rStyle w:val="Hyperlink"/>
                <w:noProof/>
              </w:rPr>
              <w:t>Scope and Focus</w:t>
            </w:r>
            <w:r>
              <w:rPr>
                <w:noProof/>
                <w:webHidden/>
              </w:rPr>
              <w:tab/>
            </w:r>
            <w:r>
              <w:rPr>
                <w:noProof/>
                <w:webHidden/>
              </w:rPr>
              <w:fldChar w:fldCharType="begin"/>
            </w:r>
            <w:r>
              <w:rPr>
                <w:noProof/>
                <w:webHidden/>
              </w:rPr>
              <w:instrText xml:space="preserve"> PAGEREF _Toc202742996 \h </w:instrText>
            </w:r>
            <w:r>
              <w:rPr>
                <w:noProof/>
                <w:webHidden/>
              </w:rPr>
            </w:r>
            <w:r>
              <w:rPr>
                <w:noProof/>
                <w:webHidden/>
              </w:rPr>
              <w:fldChar w:fldCharType="separate"/>
            </w:r>
            <w:r>
              <w:rPr>
                <w:noProof/>
                <w:webHidden/>
              </w:rPr>
              <w:t>42</w:t>
            </w:r>
            <w:r>
              <w:rPr>
                <w:noProof/>
                <w:webHidden/>
              </w:rPr>
              <w:fldChar w:fldCharType="end"/>
            </w:r>
          </w:hyperlink>
        </w:p>
        <w:p w14:paraId="4A38255D" w14:textId="326C7078" w:rsidR="00A50F77" w:rsidRDefault="00A50F77">
          <w:pPr>
            <w:pStyle w:val="TOC2"/>
            <w:tabs>
              <w:tab w:val="right" w:leader="dot" w:pos="9350"/>
            </w:tabs>
            <w:rPr>
              <w:rFonts w:eastAsiaTheme="minorEastAsia"/>
              <w:noProof/>
              <w:kern w:val="2"/>
              <w:sz w:val="24"/>
              <w:szCs w:val="24"/>
              <w14:ligatures w14:val="standardContextual"/>
            </w:rPr>
          </w:pPr>
          <w:hyperlink w:anchor="_Toc202742997" w:history="1">
            <w:r w:rsidRPr="00141975">
              <w:rPr>
                <w:rStyle w:val="Hyperlink"/>
                <w:noProof/>
              </w:rPr>
              <w:t>Certification Approach</w:t>
            </w:r>
            <w:r>
              <w:rPr>
                <w:noProof/>
                <w:webHidden/>
              </w:rPr>
              <w:tab/>
            </w:r>
            <w:r>
              <w:rPr>
                <w:noProof/>
                <w:webHidden/>
              </w:rPr>
              <w:fldChar w:fldCharType="begin"/>
            </w:r>
            <w:r>
              <w:rPr>
                <w:noProof/>
                <w:webHidden/>
              </w:rPr>
              <w:instrText xml:space="preserve"> PAGEREF _Toc202742997 \h </w:instrText>
            </w:r>
            <w:r>
              <w:rPr>
                <w:noProof/>
                <w:webHidden/>
              </w:rPr>
            </w:r>
            <w:r>
              <w:rPr>
                <w:noProof/>
                <w:webHidden/>
              </w:rPr>
              <w:fldChar w:fldCharType="separate"/>
            </w:r>
            <w:r>
              <w:rPr>
                <w:noProof/>
                <w:webHidden/>
              </w:rPr>
              <w:t>43</w:t>
            </w:r>
            <w:r>
              <w:rPr>
                <w:noProof/>
                <w:webHidden/>
              </w:rPr>
              <w:fldChar w:fldCharType="end"/>
            </w:r>
          </w:hyperlink>
        </w:p>
        <w:p w14:paraId="66FE48B5" w14:textId="3D24D79F" w:rsidR="00A50F77" w:rsidRDefault="00A50F77">
          <w:pPr>
            <w:pStyle w:val="TOC2"/>
            <w:tabs>
              <w:tab w:val="right" w:leader="dot" w:pos="9350"/>
            </w:tabs>
            <w:rPr>
              <w:rFonts w:eastAsiaTheme="minorEastAsia"/>
              <w:noProof/>
              <w:kern w:val="2"/>
              <w:sz w:val="24"/>
              <w:szCs w:val="24"/>
              <w14:ligatures w14:val="standardContextual"/>
            </w:rPr>
          </w:pPr>
          <w:hyperlink w:anchor="_Toc202742998" w:history="1">
            <w:r w:rsidRPr="00141975">
              <w:rPr>
                <w:rStyle w:val="Hyperlink"/>
                <w:noProof/>
              </w:rPr>
              <w:t>Energy Efficiency Requirements</w:t>
            </w:r>
            <w:r>
              <w:rPr>
                <w:noProof/>
                <w:webHidden/>
              </w:rPr>
              <w:tab/>
            </w:r>
            <w:r>
              <w:rPr>
                <w:noProof/>
                <w:webHidden/>
              </w:rPr>
              <w:fldChar w:fldCharType="begin"/>
            </w:r>
            <w:r>
              <w:rPr>
                <w:noProof/>
                <w:webHidden/>
              </w:rPr>
              <w:instrText xml:space="preserve"> PAGEREF _Toc202742998 \h </w:instrText>
            </w:r>
            <w:r>
              <w:rPr>
                <w:noProof/>
                <w:webHidden/>
              </w:rPr>
            </w:r>
            <w:r>
              <w:rPr>
                <w:noProof/>
                <w:webHidden/>
              </w:rPr>
              <w:fldChar w:fldCharType="separate"/>
            </w:r>
            <w:r>
              <w:rPr>
                <w:noProof/>
                <w:webHidden/>
              </w:rPr>
              <w:t>43</w:t>
            </w:r>
            <w:r>
              <w:rPr>
                <w:noProof/>
                <w:webHidden/>
              </w:rPr>
              <w:fldChar w:fldCharType="end"/>
            </w:r>
          </w:hyperlink>
        </w:p>
        <w:p w14:paraId="4438457C" w14:textId="03AD7193" w:rsidR="00A50F77" w:rsidRDefault="00A50F77">
          <w:pPr>
            <w:pStyle w:val="TOC2"/>
            <w:tabs>
              <w:tab w:val="right" w:leader="dot" w:pos="9350"/>
            </w:tabs>
            <w:rPr>
              <w:rFonts w:eastAsiaTheme="minorEastAsia"/>
              <w:noProof/>
              <w:kern w:val="2"/>
              <w:sz w:val="24"/>
              <w:szCs w:val="24"/>
              <w14:ligatures w14:val="standardContextual"/>
            </w:rPr>
          </w:pPr>
          <w:hyperlink w:anchor="_Toc202742999" w:history="1">
            <w:r w:rsidRPr="00141975">
              <w:rPr>
                <w:rStyle w:val="Hyperlink"/>
                <w:noProof/>
              </w:rPr>
              <w:t>Net Zero Approach</w:t>
            </w:r>
            <w:r>
              <w:rPr>
                <w:noProof/>
                <w:webHidden/>
              </w:rPr>
              <w:tab/>
            </w:r>
            <w:r>
              <w:rPr>
                <w:noProof/>
                <w:webHidden/>
              </w:rPr>
              <w:fldChar w:fldCharType="begin"/>
            </w:r>
            <w:r>
              <w:rPr>
                <w:noProof/>
                <w:webHidden/>
              </w:rPr>
              <w:instrText xml:space="preserve"> PAGEREF _Toc202742999 \h </w:instrText>
            </w:r>
            <w:r>
              <w:rPr>
                <w:noProof/>
                <w:webHidden/>
              </w:rPr>
            </w:r>
            <w:r>
              <w:rPr>
                <w:noProof/>
                <w:webHidden/>
              </w:rPr>
              <w:fldChar w:fldCharType="separate"/>
            </w:r>
            <w:r>
              <w:rPr>
                <w:noProof/>
                <w:webHidden/>
              </w:rPr>
              <w:t>44</w:t>
            </w:r>
            <w:r>
              <w:rPr>
                <w:noProof/>
                <w:webHidden/>
              </w:rPr>
              <w:fldChar w:fldCharType="end"/>
            </w:r>
          </w:hyperlink>
        </w:p>
        <w:p w14:paraId="3DCE77F2" w14:textId="5C285E3D" w:rsidR="00A50F77" w:rsidRDefault="00A50F77">
          <w:pPr>
            <w:pStyle w:val="TOC2"/>
            <w:tabs>
              <w:tab w:val="right" w:leader="dot" w:pos="9350"/>
            </w:tabs>
            <w:rPr>
              <w:rFonts w:eastAsiaTheme="minorEastAsia"/>
              <w:noProof/>
              <w:kern w:val="2"/>
              <w:sz w:val="24"/>
              <w:szCs w:val="24"/>
              <w14:ligatures w14:val="standardContextual"/>
            </w:rPr>
          </w:pPr>
          <w:hyperlink w:anchor="_Toc202743000" w:history="1">
            <w:r w:rsidRPr="00141975">
              <w:rPr>
                <w:rStyle w:val="Hyperlink"/>
                <w:noProof/>
              </w:rPr>
              <w:t>Embodied Carbon</w:t>
            </w:r>
            <w:r>
              <w:rPr>
                <w:noProof/>
                <w:webHidden/>
              </w:rPr>
              <w:tab/>
            </w:r>
            <w:r>
              <w:rPr>
                <w:noProof/>
                <w:webHidden/>
              </w:rPr>
              <w:fldChar w:fldCharType="begin"/>
            </w:r>
            <w:r>
              <w:rPr>
                <w:noProof/>
                <w:webHidden/>
              </w:rPr>
              <w:instrText xml:space="preserve"> PAGEREF _Toc202743000 \h </w:instrText>
            </w:r>
            <w:r>
              <w:rPr>
                <w:noProof/>
                <w:webHidden/>
              </w:rPr>
            </w:r>
            <w:r>
              <w:rPr>
                <w:noProof/>
                <w:webHidden/>
              </w:rPr>
              <w:fldChar w:fldCharType="separate"/>
            </w:r>
            <w:r>
              <w:rPr>
                <w:noProof/>
                <w:webHidden/>
              </w:rPr>
              <w:t>44</w:t>
            </w:r>
            <w:r>
              <w:rPr>
                <w:noProof/>
                <w:webHidden/>
              </w:rPr>
              <w:fldChar w:fldCharType="end"/>
            </w:r>
          </w:hyperlink>
        </w:p>
        <w:p w14:paraId="34DC46D9" w14:textId="01B61B97" w:rsidR="00A50F77" w:rsidRDefault="00A50F77">
          <w:pPr>
            <w:pStyle w:val="TOC2"/>
            <w:tabs>
              <w:tab w:val="right" w:leader="dot" w:pos="9350"/>
            </w:tabs>
            <w:rPr>
              <w:rFonts w:eastAsiaTheme="minorEastAsia"/>
              <w:noProof/>
              <w:kern w:val="2"/>
              <w:sz w:val="24"/>
              <w:szCs w:val="24"/>
              <w14:ligatures w14:val="standardContextual"/>
            </w:rPr>
          </w:pPr>
          <w:hyperlink w:anchor="_Toc202743001" w:history="1">
            <w:r w:rsidRPr="00141975">
              <w:rPr>
                <w:rStyle w:val="Hyperlink"/>
                <w:noProof/>
              </w:rPr>
              <w:t>Stormwater Management</w:t>
            </w:r>
            <w:r>
              <w:rPr>
                <w:noProof/>
                <w:webHidden/>
              </w:rPr>
              <w:tab/>
            </w:r>
            <w:r>
              <w:rPr>
                <w:noProof/>
                <w:webHidden/>
              </w:rPr>
              <w:fldChar w:fldCharType="begin"/>
            </w:r>
            <w:r>
              <w:rPr>
                <w:noProof/>
                <w:webHidden/>
              </w:rPr>
              <w:instrText xml:space="preserve"> PAGEREF _Toc202743001 \h </w:instrText>
            </w:r>
            <w:r>
              <w:rPr>
                <w:noProof/>
                <w:webHidden/>
              </w:rPr>
            </w:r>
            <w:r>
              <w:rPr>
                <w:noProof/>
                <w:webHidden/>
              </w:rPr>
              <w:fldChar w:fldCharType="separate"/>
            </w:r>
            <w:r>
              <w:rPr>
                <w:noProof/>
                <w:webHidden/>
              </w:rPr>
              <w:t>45</w:t>
            </w:r>
            <w:r>
              <w:rPr>
                <w:noProof/>
                <w:webHidden/>
              </w:rPr>
              <w:fldChar w:fldCharType="end"/>
            </w:r>
          </w:hyperlink>
        </w:p>
        <w:p w14:paraId="0196B4B3" w14:textId="22125F6C" w:rsidR="00A50F77" w:rsidRDefault="00A50F77">
          <w:pPr>
            <w:pStyle w:val="TOC2"/>
            <w:tabs>
              <w:tab w:val="right" w:leader="dot" w:pos="9350"/>
            </w:tabs>
            <w:rPr>
              <w:rFonts w:eastAsiaTheme="minorEastAsia"/>
              <w:noProof/>
              <w:kern w:val="2"/>
              <w:sz w:val="24"/>
              <w:szCs w:val="24"/>
              <w14:ligatures w14:val="standardContextual"/>
            </w:rPr>
          </w:pPr>
          <w:hyperlink w:anchor="_Toc202743002" w:history="1">
            <w:r w:rsidRPr="00141975">
              <w:rPr>
                <w:rStyle w:val="Hyperlink"/>
                <w:noProof/>
              </w:rPr>
              <w:t>Applicability to Existing Buildings</w:t>
            </w:r>
            <w:r>
              <w:rPr>
                <w:noProof/>
                <w:webHidden/>
              </w:rPr>
              <w:tab/>
            </w:r>
            <w:r>
              <w:rPr>
                <w:noProof/>
                <w:webHidden/>
              </w:rPr>
              <w:fldChar w:fldCharType="begin"/>
            </w:r>
            <w:r>
              <w:rPr>
                <w:noProof/>
                <w:webHidden/>
              </w:rPr>
              <w:instrText xml:space="preserve"> PAGEREF _Toc202743002 \h </w:instrText>
            </w:r>
            <w:r>
              <w:rPr>
                <w:noProof/>
                <w:webHidden/>
              </w:rPr>
            </w:r>
            <w:r>
              <w:rPr>
                <w:noProof/>
                <w:webHidden/>
              </w:rPr>
              <w:fldChar w:fldCharType="separate"/>
            </w:r>
            <w:r>
              <w:rPr>
                <w:noProof/>
                <w:webHidden/>
              </w:rPr>
              <w:t>46</w:t>
            </w:r>
            <w:r>
              <w:rPr>
                <w:noProof/>
                <w:webHidden/>
              </w:rPr>
              <w:fldChar w:fldCharType="end"/>
            </w:r>
          </w:hyperlink>
        </w:p>
        <w:p w14:paraId="0D9EDD8B" w14:textId="702C2400" w:rsidR="00A50F77" w:rsidRDefault="00A50F77">
          <w:pPr>
            <w:pStyle w:val="TOC2"/>
            <w:tabs>
              <w:tab w:val="right" w:leader="dot" w:pos="9350"/>
            </w:tabs>
            <w:rPr>
              <w:rFonts w:eastAsiaTheme="minorEastAsia"/>
              <w:noProof/>
              <w:kern w:val="2"/>
              <w:sz w:val="24"/>
              <w:szCs w:val="24"/>
              <w14:ligatures w14:val="standardContextual"/>
            </w:rPr>
          </w:pPr>
          <w:hyperlink w:anchor="_Toc202743003" w:history="1">
            <w:r w:rsidRPr="00141975">
              <w:rPr>
                <w:rStyle w:val="Hyperlink"/>
                <w:noProof/>
              </w:rPr>
              <w:t>Integration with Local Context</w:t>
            </w:r>
            <w:r>
              <w:rPr>
                <w:noProof/>
                <w:webHidden/>
              </w:rPr>
              <w:tab/>
            </w:r>
            <w:r>
              <w:rPr>
                <w:noProof/>
                <w:webHidden/>
              </w:rPr>
              <w:fldChar w:fldCharType="begin"/>
            </w:r>
            <w:r>
              <w:rPr>
                <w:noProof/>
                <w:webHidden/>
              </w:rPr>
              <w:instrText xml:space="preserve"> PAGEREF _Toc202743003 \h </w:instrText>
            </w:r>
            <w:r>
              <w:rPr>
                <w:noProof/>
                <w:webHidden/>
              </w:rPr>
            </w:r>
            <w:r>
              <w:rPr>
                <w:noProof/>
                <w:webHidden/>
              </w:rPr>
              <w:fldChar w:fldCharType="separate"/>
            </w:r>
            <w:r>
              <w:rPr>
                <w:noProof/>
                <w:webHidden/>
              </w:rPr>
              <w:t>47</w:t>
            </w:r>
            <w:r>
              <w:rPr>
                <w:noProof/>
                <w:webHidden/>
              </w:rPr>
              <w:fldChar w:fldCharType="end"/>
            </w:r>
          </w:hyperlink>
        </w:p>
        <w:p w14:paraId="22A5DEE9" w14:textId="621DFFA8" w:rsidR="00A50F77" w:rsidRDefault="00A50F77">
          <w:pPr>
            <w:pStyle w:val="TOC1"/>
            <w:tabs>
              <w:tab w:val="right" w:leader="dot" w:pos="9350"/>
            </w:tabs>
            <w:rPr>
              <w:rFonts w:eastAsiaTheme="minorEastAsia"/>
              <w:noProof/>
              <w:kern w:val="2"/>
              <w:sz w:val="24"/>
              <w:szCs w:val="24"/>
              <w14:ligatures w14:val="standardContextual"/>
            </w:rPr>
          </w:pPr>
          <w:hyperlink w:anchor="_Toc202743004" w:history="1">
            <w:r w:rsidRPr="00141975">
              <w:rPr>
                <w:rStyle w:val="Hyperlink"/>
                <w:noProof/>
              </w:rPr>
              <w:t>Case Studies: Canadian Higher Education Institutions</w:t>
            </w:r>
            <w:r>
              <w:rPr>
                <w:noProof/>
                <w:webHidden/>
              </w:rPr>
              <w:tab/>
            </w:r>
            <w:r>
              <w:rPr>
                <w:noProof/>
                <w:webHidden/>
              </w:rPr>
              <w:fldChar w:fldCharType="begin"/>
            </w:r>
            <w:r>
              <w:rPr>
                <w:noProof/>
                <w:webHidden/>
              </w:rPr>
              <w:instrText xml:space="preserve"> PAGEREF _Toc202743004 \h </w:instrText>
            </w:r>
            <w:r>
              <w:rPr>
                <w:noProof/>
                <w:webHidden/>
              </w:rPr>
            </w:r>
            <w:r>
              <w:rPr>
                <w:noProof/>
                <w:webHidden/>
              </w:rPr>
              <w:fldChar w:fldCharType="separate"/>
            </w:r>
            <w:r>
              <w:rPr>
                <w:noProof/>
                <w:webHidden/>
              </w:rPr>
              <w:t>47</w:t>
            </w:r>
            <w:r>
              <w:rPr>
                <w:noProof/>
                <w:webHidden/>
              </w:rPr>
              <w:fldChar w:fldCharType="end"/>
            </w:r>
          </w:hyperlink>
        </w:p>
        <w:p w14:paraId="50656593" w14:textId="0E0E720A" w:rsidR="00A50F77" w:rsidRDefault="00A50F77">
          <w:pPr>
            <w:pStyle w:val="TOC2"/>
            <w:tabs>
              <w:tab w:val="right" w:leader="dot" w:pos="9350"/>
            </w:tabs>
            <w:rPr>
              <w:rFonts w:eastAsiaTheme="minorEastAsia"/>
              <w:noProof/>
              <w:kern w:val="2"/>
              <w:sz w:val="24"/>
              <w:szCs w:val="24"/>
              <w14:ligatures w14:val="standardContextual"/>
            </w:rPr>
          </w:pPr>
          <w:hyperlink w:anchor="_Toc202743005" w:history="1">
            <w:r w:rsidRPr="00141975">
              <w:rPr>
                <w:rStyle w:val="Hyperlink"/>
                <w:noProof/>
              </w:rPr>
              <w:t>Targets and Timelines</w:t>
            </w:r>
            <w:r>
              <w:rPr>
                <w:noProof/>
                <w:webHidden/>
              </w:rPr>
              <w:tab/>
            </w:r>
            <w:r>
              <w:rPr>
                <w:noProof/>
                <w:webHidden/>
              </w:rPr>
              <w:fldChar w:fldCharType="begin"/>
            </w:r>
            <w:r>
              <w:rPr>
                <w:noProof/>
                <w:webHidden/>
              </w:rPr>
              <w:instrText xml:space="preserve"> PAGEREF _Toc202743005 \h </w:instrText>
            </w:r>
            <w:r>
              <w:rPr>
                <w:noProof/>
                <w:webHidden/>
              </w:rPr>
            </w:r>
            <w:r>
              <w:rPr>
                <w:noProof/>
                <w:webHidden/>
              </w:rPr>
              <w:fldChar w:fldCharType="separate"/>
            </w:r>
            <w:r>
              <w:rPr>
                <w:noProof/>
                <w:webHidden/>
              </w:rPr>
              <w:t>48</w:t>
            </w:r>
            <w:r>
              <w:rPr>
                <w:noProof/>
                <w:webHidden/>
              </w:rPr>
              <w:fldChar w:fldCharType="end"/>
            </w:r>
          </w:hyperlink>
        </w:p>
        <w:p w14:paraId="5CF6A130" w14:textId="4C3EAD7D" w:rsidR="00A50F77" w:rsidRDefault="00A50F77">
          <w:pPr>
            <w:pStyle w:val="TOC2"/>
            <w:tabs>
              <w:tab w:val="right" w:leader="dot" w:pos="9350"/>
            </w:tabs>
            <w:rPr>
              <w:rFonts w:eastAsiaTheme="minorEastAsia"/>
              <w:noProof/>
              <w:kern w:val="2"/>
              <w:sz w:val="24"/>
              <w:szCs w:val="24"/>
              <w14:ligatures w14:val="standardContextual"/>
            </w:rPr>
          </w:pPr>
          <w:hyperlink w:anchor="_Toc202743006" w:history="1">
            <w:r w:rsidRPr="00141975">
              <w:rPr>
                <w:rStyle w:val="Hyperlink"/>
                <w:noProof/>
              </w:rPr>
              <w:t>Energy Production, Distribution, and Consumption</w:t>
            </w:r>
            <w:r>
              <w:rPr>
                <w:noProof/>
                <w:webHidden/>
              </w:rPr>
              <w:tab/>
            </w:r>
            <w:r>
              <w:rPr>
                <w:noProof/>
                <w:webHidden/>
              </w:rPr>
              <w:fldChar w:fldCharType="begin"/>
            </w:r>
            <w:r>
              <w:rPr>
                <w:noProof/>
                <w:webHidden/>
              </w:rPr>
              <w:instrText xml:space="preserve"> PAGEREF _Toc202743006 \h </w:instrText>
            </w:r>
            <w:r>
              <w:rPr>
                <w:noProof/>
                <w:webHidden/>
              </w:rPr>
            </w:r>
            <w:r>
              <w:rPr>
                <w:noProof/>
                <w:webHidden/>
              </w:rPr>
              <w:fldChar w:fldCharType="separate"/>
            </w:r>
            <w:r>
              <w:rPr>
                <w:noProof/>
                <w:webHidden/>
              </w:rPr>
              <w:t>49</w:t>
            </w:r>
            <w:r>
              <w:rPr>
                <w:noProof/>
                <w:webHidden/>
              </w:rPr>
              <w:fldChar w:fldCharType="end"/>
            </w:r>
          </w:hyperlink>
        </w:p>
        <w:p w14:paraId="7C929C6E" w14:textId="5EA19C22" w:rsidR="00A50F77" w:rsidRDefault="00A50F77">
          <w:pPr>
            <w:pStyle w:val="TOC2"/>
            <w:tabs>
              <w:tab w:val="right" w:leader="dot" w:pos="9350"/>
            </w:tabs>
            <w:rPr>
              <w:rFonts w:eastAsiaTheme="minorEastAsia"/>
              <w:noProof/>
              <w:kern w:val="2"/>
              <w:sz w:val="24"/>
              <w:szCs w:val="24"/>
              <w14:ligatures w14:val="standardContextual"/>
            </w:rPr>
          </w:pPr>
          <w:hyperlink w:anchor="_Toc202743007" w:history="1">
            <w:r w:rsidRPr="00141975">
              <w:rPr>
                <w:rStyle w:val="Hyperlink"/>
                <w:noProof/>
              </w:rPr>
              <w:t>Stormwater Management</w:t>
            </w:r>
            <w:r>
              <w:rPr>
                <w:noProof/>
                <w:webHidden/>
              </w:rPr>
              <w:tab/>
            </w:r>
            <w:r>
              <w:rPr>
                <w:noProof/>
                <w:webHidden/>
              </w:rPr>
              <w:fldChar w:fldCharType="begin"/>
            </w:r>
            <w:r>
              <w:rPr>
                <w:noProof/>
                <w:webHidden/>
              </w:rPr>
              <w:instrText xml:space="preserve"> PAGEREF _Toc202743007 \h </w:instrText>
            </w:r>
            <w:r>
              <w:rPr>
                <w:noProof/>
                <w:webHidden/>
              </w:rPr>
            </w:r>
            <w:r>
              <w:rPr>
                <w:noProof/>
                <w:webHidden/>
              </w:rPr>
              <w:fldChar w:fldCharType="separate"/>
            </w:r>
            <w:r>
              <w:rPr>
                <w:noProof/>
                <w:webHidden/>
              </w:rPr>
              <w:t>49</w:t>
            </w:r>
            <w:r>
              <w:rPr>
                <w:noProof/>
                <w:webHidden/>
              </w:rPr>
              <w:fldChar w:fldCharType="end"/>
            </w:r>
          </w:hyperlink>
        </w:p>
        <w:p w14:paraId="1F881AAE" w14:textId="1C1BA966" w:rsidR="00A50F77" w:rsidRDefault="00A50F77">
          <w:pPr>
            <w:pStyle w:val="TOC2"/>
            <w:tabs>
              <w:tab w:val="right" w:leader="dot" w:pos="9350"/>
            </w:tabs>
            <w:rPr>
              <w:rFonts w:eastAsiaTheme="minorEastAsia"/>
              <w:noProof/>
              <w:kern w:val="2"/>
              <w:sz w:val="24"/>
              <w:szCs w:val="24"/>
              <w14:ligatures w14:val="standardContextual"/>
            </w:rPr>
          </w:pPr>
          <w:hyperlink w:anchor="_Toc202743008" w:history="1">
            <w:r w:rsidRPr="00141975">
              <w:rPr>
                <w:rStyle w:val="Hyperlink"/>
                <w:noProof/>
              </w:rPr>
              <w:t>Innovative Technologies and Approaches</w:t>
            </w:r>
            <w:r>
              <w:rPr>
                <w:noProof/>
                <w:webHidden/>
              </w:rPr>
              <w:tab/>
            </w:r>
            <w:r>
              <w:rPr>
                <w:noProof/>
                <w:webHidden/>
              </w:rPr>
              <w:fldChar w:fldCharType="begin"/>
            </w:r>
            <w:r>
              <w:rPr>
                <w:noProof/>
                <w:webHidden/>
              </w:rPr>
              <w:instrText xml:space="preserve"> PAGEREF _Toc202743008 \h </w:instrText>
            </w:r>
            <w:r>
              <w:rPr>
                <w:noProof/>
                <w:webHidden/>
              </w:rPr>
            </w:r>
            <w:r>
              <w:rPr>
                <w:noProof/>
                <w:webHidden/>
              </w:rPr>
              <w:fldChar w:fldCharType="separate"/>
            </w:r>
            <w:r>
              <w:rPr>
                <w:noProof/>
                <w:webHidden/>
              </w:rPr>
              <w:t>50</w:t>
            </w:r>
            <w:r>
              <w:rPr>
                <w:noProof/>
                <w:webHidden/>
              </w:rPr>
              <w:fldChar w:fldCharType="end"/>
            </w:r>
          </w:hyperlink>
        </w:p>
        <w:p w14:paraId="43743C49" w14:textId="2FDA33F6" w:rsidR="00A50F77" w:rsidRDefault="00A50F77">
          <w:pPr>
            <w:pStyle w:val="TOC2"/>
            <w:tabs>
              <w:tab w:val="right" w:leader="dot" w:pos="9350"/>
            </w:tabs>
            <w:rPr>
              <w:rFonts w:eastAsiaTheme="minorEastAsia"/>
              <w:noProof/>
              <w:kern w:val="2"/>
              <w:sz w:val="24"/>
              <w:szCs w:val="24"/>
              <w14:ligatures w14:val="standardContextual"/>
            </w:rPr>
          </w:pPr>
          <w:hyperlink w:anchor="_Toc202743009" w:history="1">
            <w:r w:rsidRPr="00141975">
              <w:rPr>
                <w:rStyle w:val="Hyperlink"/>
                <w:noProof/>
              </w:rPr>
              <w:t>Integration of Research and Operations</w:t>
            </w:r>
            <w:r>
              <w:rPr>
                <w:noProof/>
                <w:webHidden/>
              </w:rPr>
              <w:tab/>
            </w:r>
            <w:r>
              <w:rPr>
                <w:noProof/>
                <w:webHidden/>
              </w:rPr>
              <w:fldChar w:fldCharType="begin"/>
            </w:r>
            <w:r>
              <w:rPr>
                <w:noProof/>
                <w:webHidden/>
              </w:rPr>
              <w:instrText xml:space="preserve"> PAGEREF _Toc202743009 \h </w:instrText>
            </w:r>
            <w:r>
              <w:rPr>
                <w:noProof/>
                <w:webHidden/>
              </w:rPr>
            </w:r>
            <w:r>
              <w:rPr>
                <w:noProof/>
                <w:webHidden/>
              </w:rPr>
              <w:fldChar w:fldCharType="separate"/>
            </w:r>
            <w:r>
              <w:rPr>
                <w:noProof/>
                <w:webHidden/>
              </w:rPr>
              <w:t>51</w:t>
            </w:r>
            <w:r>
              <w:rPr>
                <w:noProof/>
                <w:webHidden/>
              </w:rPr>
              <w:fldChar w:fldCharType="end"/>
            </w:r>
          </w:hyperlink>
        </w:p>
        <w:p w14:paraId="5D398366" w14:textId="0FBDFD2D" w:rsidR="00A50F77" w:rsidRDefault="00A50F77">
          <w:pPr>
            <w:pStyle w:val="TOC2"/>
            <w:tabs>
              <w:tab w:val="right" w:leader="dot" w:pos="9350"/>
            </w:tabs>
            <w:rPr>
              <w:rFonts w:eastAsiaTheme="minorEastAsia"/>
              <w:noProof/>
              <w:kern w:val="2"/>
              <w:sz w:val="24"/>
              <w:szCs w:val="24"/>
              <w14:ligatures w14:val="standardContextual"/>
            </w:rPr>
          </w:pPr>
          <w:hyperlink w:anchor="_Toc202743010" w:history="1">
            <w:r w:rsidRPr="00141975">
              <w:rPr>
                <w:rStyle w:val="Hyperlink"/>
                <w:noProof/>
              </w:rPr>
              <w:t>Holistic Approach to Sustainability</w:t>
            </w:r>
            <w:r>
              <w:rPr>
                <w:noProof/>
                <w:webHidden/>
              </w:rPr>
              <w:tab/>
            </w:r>
            <w:r>
              <w:rPr>
                <w:noProof/>
                <w:webHidden/>
              </w:rPr>
              <w:fldChar w:fldCharType="begin"/>
            </w:r>
            <w:r>
              <w:rPr>
                <w:noProof/>
                <w:webHidden/>
              </w:rPr>
              <w:instrText xml:space="preserve"> PAGEREF _Toc202743010 \h </w:instrText>
            </w:r>
            <w:r>
              <w:rPr>
                <w:noProof/>
                <w:webHidden/>
              </w:rPr>
            </w:r>
            <w:r>
              <w:rPr>
                <w:noProof/>
                <w:webHidden/>
              </w:rPr>
              <w:fldChar w:fldCharType="separate"/>
            </w:r>
            <w:r>
              <w:rPr>
                <w:noProof/>
                <w:webHidden/>
              </w:rPr>
              <w:t>51</w:t>
            </w:r>
            <w:r>
              <w:rPr>
                <w:noProof/>
                <w:webHidden/>
              </w:rPr>
              <w:fldChar w:fldCharType="end"/>
            </w:r>
          </w:hyperlink>
        </w:p>
        <w:p w14:paraId="0272D9D1" w14:textId="393048B8" w:rsidR="00A50F77" w:rsidRDefault="00A50F77">
          <w:pPr>
            <w:pStyle w:val="TOC2"/>
            <w:tabs>
              <w:tab w:val="right" w:leader="dot" w:pos="9350"/>
            </w:tabs>
            <w:rPr>
              <w:rFonts w:eastAsiaTheme="minorEastAsia"/>
              <w:noProof/>
              <w:kern w:val="2"/>
              <w:sz w:val="24"/>
              <w:szCs w:val="24"/>
              <w14:ligatures w14:val="standardContextual"/>
            </w:rPr>
          </w:pPr>
          <w:hyperlink w:anchor="_Toc202743011" w:history="1">
            <w:r w:rsidRPr="00141975">
              <w:rPr>
                <w:rStyle w:val="Hyperlink"/>
                <w:noProof/>
              </w:rPr>
              <w:t>Financing and Governance Mechanisms</w:t>
            </w:r>
            <w:r>
              <w:rPr>
                <w:noProof/>
                <w:webHidden/>
              </w:rPr>
              <w:tab/>
            </w:r>
            <w:r>
              <w:rPr>
                <w:noProof/>
                <w:webHidden/>
              </w:rPr>
              <w:fldChar w:fldCharType="begin"/>
            </w:r>
            <w:r>
              <w:rPr>
                <w:noProof/>
                <w:webHidden/>
              </w:rPr>
              <w:instrText xml:space="preserve"> PAGEREF _Toc202743011 \h </w:instrText>
            </w:r>
            <w:r>
              <w:rPr>
                <w:noProof/>
                <w:webHidden/>
              </w:rPr>
            </w:r>
            <w:r>
              <w:rPr>
                <w:noProof/>
                <w:webHidden/>
              </w:rPr>
              <w:fldChar w:fldCharType="separate"/>
            </w:r>
            <w:r>
              <w:rPr>
                <w:noProof/>
                <w:webHidden/>
              </w:rPr>
              <w:t>52</w:t>
            </w:r>
            <w:r>
              <w:rPr>
                <w:noProof/>
                <w:webHidden/>
              </w:rPr>
              <w:fldChar w:fldCharType="end"/>
            </w:r>
          </w:hyperlink>
        </w:p>
        <w:p w14:paraId="0B1AE0C6" w14:textId="3B50E1DF" w:rsidR="00A50F77" w:rsidRDefault="00A50F77">
          <w:pPr>
            <w:pStyle w:val="TOC2"/>
            <w:tabs>
              <w:tab w:val="right" w:leader="dot" w:pos="9350"/>
            </w:tabs>
            <w:rPr>
              <w:rFonts w:eastAsiaTheme="minorEastAsia"/>
              <w:noProof/>
              <w:kern w:val="2"/>
              <w:sz w:val="24"/>
              <w:szCs w:val="24"/>
              <w14:ligatures w14:val="standardContextual"/>
            </w:rPr>
          </w:pPr>
          <w:hyperlink w:anchor="_Toc202743012" w:history="1">
            <w:r w:rsidRPr="00141975">
              <w:rPr>
                <w:rStyle w:val="Hyperlink"/>
                <w:noProof/>
              </w:rPr>
              <w:t>Lessons Learned</w:t>
            </w:r>
            <w:r>
              <w:rPr>
                <w:noProof/>
                <w:webHidden/>
              </w:rPr>
              <w:tab/>
            </w:r>
            <w:r>
              <w:rPr>
                <w:noProof/>
                <w:webHidden/>
              </w:rPr>
              <w:fldChar w:fldCharType="begin"/>
            </w:r>
            <w:r>
              <w:rPr>
                <w:noProof/>
                <w:webHidden/>
              </w:rPr>
              <w:instrText xml:space="preserve"> PAGEREF _Toc202743012 \h </w:instrText>
            </w:r>
            <w:r>
              <w:rPr>
                <w:noProof/>
                <w:webHidden/>
              </w:rPr>
            </w:r>
            <w:r>
              <w:rPr>
                <w:noProof/>
                <w:webHidden/>
              </w:rPr>
              <w:fldChar w:fldCharType="separate"/>
            </w:r>
            <w:r>
              <w:rPr>
                <w:noProof/>
                <w:webHidden/>
              </w:rPr>
              <w:t>52</w:t>
            </w:r>
            <w:r>
              <w:rPr>
                <w:noProof/>
                <w:webHidden/>
              </w:rPr>
              <w:fldChar w:fldCharType="end"/>
            </w:r>
          </w:hyperlink>
        </w:p>
        <w:p w14:paraId="212DC81A" w14:textId="7D92BDD1" w:rsidR="00A50F77" w:rsidRDefault="00A50F77">
          <w:pPr>
            <w:pStyle w:val="TOC1"/>
            <w:tabs>
              <w:tab w:val="right" w:leader="dot" w:pos="9350"/>
            </w:tabs>
            <w:rPr>
              <w:rFonts w:eastAsiaTheme="minorEastAsia"/>
              <w:noProof/>
              <w:kern w:val="2"/>
              <w:sz w:val="24"/>
              <w:szCs w:val="24"/>
              <w14:ligatures w14:val="standardContextual"/>
            </w:rPr>
          </w:pPr>
          <w:hyperlink w:anchor="_Toc202743013" w:history="1">
            <w:r w:rsidRPr="00141975">
              <w:rPr>
                <w:rStyle w:val="Hyperlink"/>
                <w:noProof/>
              </w:rPr>
              <w:t>Net Zero Building Standard for York University</w:t>
            </w:r>
            <w:r>
              <w:rPr>
                <w:noProof/>
                <w:webHidden/>
              </w:rPr>
              <w:tab/>
            </w:r>
            <w:r>
              <w:rPr>
                <w:noProof/>
                <w:webHidden/>
              </w:rPr>
              <w:fldChar w:fldCharType="begin"/>
            </w:r>
            <w:r>
              <w:rPr>
                <w:noProof/>
                <w:webHidden/>
              </w:rPr>
              <w:instrText xml:space="preserve"> PAGEREF _Toc202743013 \h </w:instrText>
            </w:r>
            <w:r>
              <w:rPr>
                <w:noProof/>
                <w:webHidden/>
              </w:rPr>
            </w:r>
            <w:r>
              <w:rPr>
                <w:noProof/>
                <w:webHidden/>
              </w:rPr>
              <w:fldChar w:fldCharType="separate"/>
            </w:r>
            <w:r>
              <w:rPr>
                <w:noProof/>
                <w:webHidden/>
              </w:rPr>
              <w:t>53</w:t>
            </w:r>
            <w:r>
              <w:rPr>
                <w:noProof/>
                <w:webHidden/>
              </w:rPr>
              <w:fldChar w:fldCharType="end"/>
            </w:r>
          </w:hyperlink>
        </w:p>
        <w:p w14:paraId="74625271" w14:textId="7E3C7C8F" w:rsidR="00A50F77" w:rsidRDefault="00A50F77">
          <w:pPr>
            <w:pStyle w:val="TOC2"/>
            <w:tabs>
              <w:tab w:val="right" w:leader="dot" w:pos="9350"/>
            </w:tabs>
            <w:rPr>
              <w:rFonts w:eastAsiaTheme="minorEastAsia"/>
              <w:noProof/>
              <w:kern w:val="2"/>
              <w:sz w:val="24"/>
              <w:szCs w:val="24"/>
              <w14:ligatures w14:val="standardContextual"/>
            </w:rPr>
          </w:pPr>
          <w:hyperlink w:anchor="_Toc202743014" w:history="1">
            <w:r w:rsidRPr="00141975">
              <w:rPr>
                <w:rStyle w:val="Hyperlink"/>
                <w:noProof/>
              </w:rPr>
              <w:t>Contextualizing the Net Zero Building Standard</w:t>
            </w:r>
            <w:r>
              <w:rPr>
                <w:noProof/>
                <w:webHidden/>
              </w:rPr>
              <w:tab/>
            </w:r>
            <w:r>
              <w:rPr>
                <w:noProof/>
                <w:webHidden/>
              </w:rPr>
              <w:fldChar w:fldCharType="begin"/>
            </w:r>
            <w:r>
              <w:rPr>
                <w:noProof/>
                <w:webHidden/>
              </w:rPr>
              <w:instrText xml:space="preserve"> PAGEREF _Toc202743014 \h </w:instrText>
            </w:r>
            <w:r>
              <w:rPr>
                <w:noProof/>
                <w:webHidden/>
              </w:rPr>
            </w:r>
            <w:r>
              <w:rPr>
                <w:noProof/>
                <w:webHidden/>
              </w:rPr>
              <w:fldChar w:fldCharType="separate"/>
            </w:r>
            <w:r>
              <w:rPr>
                <w:noProof/>
                <w:webHidden/>
              </w:rPr>
              <w:t>53</w:t>
            </w:r>
            <w:r>
              <w:rPr>
                <w:noProof/>
                <w:webHidden/>
              </w:rPr>
              <w:fldChar w:fldCharType="end"/>
            </w:r>
          </w:hyperlink>
        </w:p>
        <w:p w14:paraId="7B01B52B" w14:textId="5DDD9143" w:rsidR="00A50F77" w:rsidRDefault="00A50F77">
          <w:pPr>
            <w:pStyle w:val="TOC2"/>
            <w:tabs>
              <w:tab w:val="right" w:leader="dot" w:pos="9350"/>
            </w:tabs>
            <w:rPr>
              <w:rFonts w:eastAsiaTheme="minorEastAsia"/>
              <w:noProof/>
              <w:kern w:val="2"/>
              <w:sz w:val="24"/>
              <w:szCs w:val="24"/>
              <w14:ligatures w14:val="standardContextual"/>
            </w:rPr>
          </w:pPr>
          <w:hyperlink w:anchor="_Toc202743015" w:history="1">
            <w:r w:rsidRPr="00141975">
              <w:rPr>
                <w:rStyle w:val="Hyperlink"/>
                <w:noProof/>
              </w:rPr>
              <w:t>Proposed Framework for York University Net Zero Building Strategy</w:t>
            </w:r>
            <w:r>
              <w:rPr>
                <w:noProof/>
                <w:webHidden/>
              </w:rPr>
              <w:tab/>
            </w:r>
            <w:r>
              <w:rPr>
                <w:noProof/>
                <w:webHidden/>
              </w:rPr>
              <w:fldChar w:fldCharType="begin"/>
            </w:r>
            <w:r>
              <w:rPr>
                <w:noProof/>
                <w:webHidden/>
              </w:rPr>
              <w:instrText xml:space="preserve"> PAGEREF _Toc202743015 \h </w:instrText>
            </w:r>
            <w:r>
              <w:rPr>
                <w:noProof/>
                <w:webHidden/>
              </w:rPr>
            </w:r>
            <w:r>
              <w:rPr>
                <w:noProof/>
                <w:webHidden/>
              </w:rPr>
              <w:fldChar w:fldCharType="separate"/>
            </w:r>
            <w:r>
              <w:rPr>
                <w:noProof/>
                <w:webHidden/>
              </w:rPr>
              <w:t>54</w:t>
            </w:r>
            <w:r>
              <w:rPr>
                <w:noProof/>
                <w:webHidden/>
              </w:rPr>
              <w:fldChar w:fldCharType="end"/>
            </w:r>
          </w:hyperlink>
        </w:p>
        <w:p w14:paraId="0B901B4D" w14:textId="51AA3C11" w:rsidR="00A50F77" w:rsidRDefault="00A50F77">
          <w:pPr>
            <w:pStyle w:val="TOC2"/>
            <w:tabs>
              <w:tab w:val="right" w:leader="dot" w:pos="9350"/>
            </w:tabs>
            <w:rPr>
              <w:rFonts w:eastAsiaTheme="minorEastAsia"/>
              <w:noProof/>
              <w:kern w:val="2"/>
              <w:sz w:val="24"/>
              <w:szCs w:val="24"/>
              <w14:ligatures w14:val="standardContextual"/>
            </w:rPr>
          </w:pPr>
          <w:hyperlink w:anchor="_Toc202743016" w:history="1">
            <w:r w:rsidRPr="00141975">
              <w:rPr>
                <w:rStyle w:val="Hyperlink"/>
                <w:noProof/>
              </w:rPr>
              <w:t>Accessibility and Diversity, Equity, and Inclusion (DEI)</w:t>
            </w:r>
            <w:r>
              <w:rPr>
                <w:noProof/>
                <w:webHidden/>
              </w:rPr>
              <w:tab/>
            </w:r>
            <w:r>
              <w:rPr>
                <w:noProof/>
                <w:webHidden/>
              </w:rPr>
              <w:fldChar w:fldCharType="begin"/>
            </w:r>
            <w:r>
              <w:rPr>
                <w:noProof/>
                <w:webHidden/>
              </w:rPr>
              <w:instrText xml:space="preserve"> PAGEREF _Toc202743016 \h </w:instrText>
            </w:r>
            <w:r>
              <w:rPr>
                <w:noProof/>
                <w:webHidden/>
              </w:rPr>
            </w:r>
            <w:r>
              <w:rPr>
                <w:noProof/>
                <w:webHidden/>
              </w:rPr>
              <w:fldChar w:fldCharType="separate"/>
            </w:r>
            <w:r>
              <w:rPr>
                <w:noProof/>
                <w:webHidden/>
              </w:rPr>
              <w:t>62</w:t>
            </w:r>
            <w:r>
              <w:rPr>
                <w:noProof/>
                <w:webHidden/>
              </w:rPr>
              <w:fldChar w:fldCharType="end"/>
            </w:r>
          </w:hyperlink>
        </w:p>
        <w:p w14:paraId="32740302" w14:textId="4BA73F24" w:rsidR="00A50F77" w:rsidRDefault="00A50F77">
          <w:pPr>
            <w:pStyle w:val="TOC2"/>
            <w:tabs>
              <w:tab w:val="right" w:leader="dot" w:pos="9350"/>
            </w:tabs>
            <w:rPr>
              <w:rFonts w:eastAsiaTheme="minorEastAsia"/>
              <w:noProof/>
              <w:kern w:val="2"/>
              <w:sz w:val="24"/>
              <w:szCs w:val="24"/>
              <w14:ligatures w14:val="standardContextual"/>
            </w:rPr>
          </w:pPr>
          <w:hyperlink w:anchor="_Toc202743017" w:history="1">
            <w:r w:rsidRPr="00141975">
              <w:rPr>
                <w:rStyle w:val="Hyperlink"/>
                <w:noProof/>
              </w:rPr>
              <w:t>Key Implementation Strategies</w:t>
            </w:r>
            <w:r>
              <w:rPr>
                <w:noProof/>
                <w:webHidden/>
              </w:rPr>
              <w:tab/>
            </w:r>
            <w:r>
              <w:rPr>
                <w:noProof/>
                <w:webHidden/>
              </w:rPr>
              <w:fldChar w:fldCharType="begin"/>
            </w:r>
            <w:r>
              <w:rPr>
                <w:noProof/>
                <w:webHidden/>
              </w:rPr>
              <w:instrText xml:space="preserve"> PAGEREF _Toc202743017 \h </w:instrText>
            </w:r>
            <w:r>
              <w:rPr>
                <w:noProof/>
                <w:webHidden/>
              </w:rPr>
            </w:r>
            <w:r>
              <w:rPr>
                <w:noProof/>
                <w:webHidden/>
              </w:rPr>
              <w:fldChar w:fldCharType="separate"/>
            </w:r>
            <w:r>
              <w:rPr>
                <w:noProof/>
                <w:webHidden/>
              </w:rPr>
              <w:t>63</w:t>
            </w:r>
            <w:r>
              <w:rPr>
                <w:noProof/>
                <w:webHidden/>
              </w:rPr>
              <w:fldChar w:fldCharType="end"/>
            </w:r>
          </w:hyperlink>
        </w:p>
        <w:p w14:paraId="27A439BF" w14:textId="05459827" w:rsidR="00A50F77" w:rsidRDefault="00A50F77">
          <w:pPr>
            <w:pStyle w:val="TOC2"/>
            <w:tabs>
              <w:tab w:val="right" w:leader="dot" w:pos="9350"/>
            </w:tabs>
            <w:rPr>
              <w:rFonts w:eastAsiaTheme="minorEastAsia"/>
              <w:noProof/>
              <w:kern w:val="2"/>
              <w:sz w:val="24"/>
              <w:szCs w:val="24"/>
              <w14:ligatures w14:val="standardContextual"/>
            </w:rPr>
          </w:pPr>
          <w:hyperlink w:anchor="_Toc202743018" w:history="1">
            <w:r w:rsidRPr="00141975">
              <w:rPr>
                <w:rStyle w:val="Hyperlink"/>
                <w:noProof/>
              </w:rPr>
              <w:t>Community Engagement and Stakeholder Integration in Green Building Implementation</w:t>
            </w:r>
            <w:r>
              <w:rPr>
                <w:noProof/>
                <w:webHidden/>
              </w:rPr>
              <w:tab/>
            </w:r>
            <w:r>
              <w:rPr>
                <w:noProof/>
                <w:webHidden/>
              </w:rPr>
              <w:fldChar w:fldCharType="begin"/>
            </w:r>
            <w:r>
              <w:rPr>
                <w:noProof/>
                <w:webHidden/>
              </w:rPr>
              <w:instrText xml:space="preserve"> PAGEREF _Toc202743018 \h </w:instrText>
            </w:r>
            <w:r>
              <w:rPr>
                <w:noProof/>
                <w:webHidden/>
              </w:rPr>
            </w:r>
            <w:r>
              <w:rPr>
                <w:noProof/>
                <w:webHidden/>
              </w:rPr>
              <w:fldChar w:fldCharType="separate"/>
            </w:r>
            <w:r>
              <w:rPr>
                <w:noProof/>
                <w:webHidden/>
              </w:rPr>
              <w:t>64</w:t>
            </w:r>
            <w:r>
              <w:rPr>
                <w:noProof/>
                <w:webHidden/>
              </w:rPr>
              <w:fldChar w:fldCharType="end"/>
            </w:r>
          </w:hyperlink>
        </w:p>
        <w:p w14:paraId="62481BF1" w14:textId="1E88A0CE" w:rsidR="00A50F77" w:rsidRDefault="00A50F77">
          <w:pPr>
            <w:pStyle w:val="TOC2"/>
            <w:tabs>
              <w:tab w:val="right" w:leader="dot" w:pos="9350"/>
            </w:tabs>
            <w:rPr>
              <w:rFonts w:eastAsiaTheme="minorEastAsia"/>
              <w:noProof/>
              <w:kern w:val="2"/>
              <w:sz w:val="24"/>
              <w:szCs w:val="24"/>
              <w14:ligatures w14:val="standardContextual"/>
            </w:rPr>
          </w:pPr>
          <w:hyperlink w:anchor="_Toc202743019" w:history="1">
            <w:r w:rsidRPr="00141975">
              <w:rPr>
                <w:rStyle w:val="Hyperlink"/>
                <w:noProof/>
              </w:rPr>
              <w:t>Implementation Plan</w:t>
            </w:r>
            <w:r>
              <w:rPr>
                <w:noProof/>
                <w:webHidden/>
              </w:rPr>
              <w:tab/>
            </w:r>
            <w:r>
              <w:rPr>
                <w:noProof/>
                <w:webHidden/>
              </w:rPr>
              <w:fldChar w:fldCharType="begin"/>
            </w:r>
            <w:r>
              <w:rPr>
                <w:noProof/>
                <w:webHidden/>
              </w:rPr>
              <w:instrText xml:space="preserve"> PAGEREF _Toc202743019 \h </w:instrText>
            </w:r>
            <w:r>
              <w:rPr>
                <w:noProof/>
                <w:webHidden/>
              </w:rPr>
            </w:r>
            <w:r>
              <w:rPr>
                <w:noProof/>
                <w:webHidden/>
              </w:rPr>
              <w:fldChar w:fldCharType="separate"/>
            </w:r>
            <w:r>
              <w:rPr>
                <w:noProof/>
                <w:webHidden/>
              </w:rPr>
              <w:t>68</w:t>
            </w:r>
            <w:r>
              <w:rPr>
                <w:noProof/>
                <w:webHidden/>
              </w:rPr>
              <w:fldChar w:fldCharType="end"/>
            </w:r>
          </w:hyperlink>
        </w:p>
        <w:p w14:paraId="0364D84D" w14:textId="2BC758AA" w:rsidR="00A50F77" w:rsidRDefault="00A50F77">
          <w:pPr>
            <w:pStyle w:val="TOC2"/>
            <w:tabs>
              <w:tab w:val="right" w:leader="dot" w:pos="9350"/>
            </w:tabs>
            <w:rPr>
              <w:rFonts w:eastAsiaTheme="minorEastAsia"/>
              <w:noProof/>
              <w:kern w:val="2"/>
              <w:sz w:val="24"/>
              <w:szCs w:val="24"/>
              <w14:ligatures w14:val="standardContextual"/>
            </w:rPr>
          </w:pPr>
          <w:hyperlink w:anchor="_Toc202743020" w:history="1">
            <w:r w:rsidRPr="00141975">
              <w:rPr>
                <w:rStyle w:val="Hyperlink"/>
                <w:noProof/>
              </w:rPr>
              <w:t>Monitoring and Reporting Framework</w:t>
            </w:r>
            <w:r>
              <w:rPr>
                <w:noProof/>
                <w:webHidden/>
              </w:rPr>
              <w:tab/>
            </w:r>
            <w:r>
              <w:rPr>
                <w:noProof/>
                <w:webHidden/>
              </w:rPr>
              <w:fldChar w:fldCharType="begin"/>
            </w:r>
            <w:r>
              <w:rPr>
                <w:noProof/>
                <w:webHidden/>
              </w:rPr>
              <w:instrText xml:space="preserve"> PAGEREF _Toc202743020 \h </w:instrText>
            </w:r>
            <w:r>
              <w:rPr>
                <w:noProof/>
                <w:webHidden/>
              </w:rPr>
            </w:r>
            <w:r>
              <w:rPr>
                <w:noProof/>
                <w:webHidden/>
              </w:rPr>
              <w:fldChar w:fldCharType="separate"/>
            </w:r>
            <w:r>
              <w:rPr>
                <w:noProof/>
                <w:webHidden/>
              </w:rPr>
              <w:t>71</w:t>
            </w:r>
            <w:r>
              <w:rPr>
                <w:noProof/>
                <w:webHidden/>
              </w:rPr>
              <w:fldChar w:fldCharType="end"/>
            </w:r>
          </w:hyperlink>
        </w:p>
        <w:p w14:paraId="4ECABD17" w14:textId="581DE973" w:rsidR="00A50F77" w:rsidRDefault="00A50F77">
          <w:pPr>
            <w:pStyle w:val="TOC1"/>
            <w:tabs>
              <w:tab w:val="right" w:leader="dot" w:pos="9350"/>
            </w:tabs>
            <w:rPr>
              <w:rFonts w:eastAsiaTheme="minorEastAsia"/>
              <w:noProof/>
              <w:kern w:val="2"/>
              <w:sz w:val="24"/>
              <w:szCs w:val="24"/>
              <w14:ligatures w14:val="standardContextual"/>
            </w:rPr>
          </w:pPr>
          <w:hyperlink w:anchor="_Toc202743021" w:history="1">
            <w:r w:rsidRPr="00141975">
              <w:rPr>
                <w:rStyle w:val="Hyperlink"/>
                <w:noProof/>
              </w:rPr>
              <w:t>Conclusion</w:t>
            </w:r>
            <w:r>
              <w:rPr>
                <w:noProof/>
                <w:webHidden/>
              </w:rPr>
              <w:tab/>
            </w:r>
            <w:r>
              <w:rPr>
                <w:noProof/>
                <w:webHidden/>
              </w:rPr>
              <w:fldChar w:fldCharType="begin"/>
            </w:r>
            <w:r>
              <w:rPr>
                <w:noProof/>
                <w:webHidden/>
              </w:rPr>
              <w:instrText xml:space="preserve"> PAGEREF _Toc202743021 \h </w:instrText>
            </w:r>
            <w:r>
              <w:rPr>
                <w:noProof/>
                <w:webHidden/>
              </w:rPr>
            </w:r>
            <w:r>
              <w:rPr>
                <w:noProof/>
                <w:webHidden/>
              </w:rPr>
              <w:fldChar w:fldCharType="separate"/>
            </w:r>
            <w:r>
              <w:rPr>
                <w:noProof/>
                <w:webHidden/>
              </w:rPr>
              <w:t>73</w:t>
            </w:r>
            <w:r>
              <w:rPr>
                <w:noProof/>
                <w:webHidden/>
              </w:rPr>
              <w:fldChar w:fldCharType="end"/>
            </w:r>
          </w:hyperlink>
        </w:p>
        <w:p w14:paraId="52C50142" w14:textId="06ED99DE" w:rsidR="00A50F77" w:rsidRDefault="00A50F77">
          <w:pPr>
            <w:pStyle w:val="TOC1"/>
            <w:tabs>
              <w:tab w:val="right" w:leader="dot" w:pos="9350"/>
            </w:tabs>
            <w:rPr>
              <w:rFonts w:eastAsiaTheme="minorEastAsia"/>
              <w:noProof/>
              <w:kern w:val="2"/>
              <w:sz w:val="24"/>
              <w:szCs w:val="24"/>
              <w14:ligatures w14:val="standardContextual"/>
            </w:rPr>
          </w:pPr>
          <w:hyperlink w:anchor="_Toc202743022" w:history="1">
            <w:r w:rsidRPr="00141975">
              <w:rPr>
                <w:rStyle w:val="Hyperlink"/>
                <w:noProof/>
              </w:rPr>
              <w:t>References</w:t>
            </w:r>
            <w:r>
              <w:rPr>
                <w:noProof/>
                <w:webHidden/>
              </w:rPr>
              <w:tab/>
            </w:r>
            <w:r>
              <w:rPr>
                <w:noProof/>
                <w:webHidden/>
              </w:rPr>
              <w:fldChar w:fldCharType="begin"/>
            </w:r>
            <w:r>
              <w:rPr>
                <w:noProof/>
                <w:webHidden/>
              </w:rPr>
              <w:instrText xml:space="preserve"> PAGEREF _Toc202743022 \h </w:instrText>
            </w:r>
            <w:r>
              <w:rPr>
                <w:noProof/>
                <w:webHidden/>
              </w:rPr>
            </w:r>
            <w:r>
              <w:rPr>
                <w:noProof/>
                <w:webHidden/>
              </w:rPr>
              <w:fldChar w:fldCharType="separate"/>
            </w:r>
            <w:r>
              <w:rPr>
                <w:noProof/>
                <w:webHidden/>
              </w:rPr>
              <w:t>75</w:t>
            </w:r>
            <w:r>
              <w:rPr>
                <w:noProof/>
                <w:webHidden/>
              </w:rPr>
              <w:fldChar w:fldCharType="end"/>
            </w:r>
          </w:hyperlink>
        </w:p>
        <w:p w14:paraId="6A377F5A" w14:textId="6ACE1C03" w:rsidR="00052B3F" w:rsidRPr="00D06382" w:rsidRDefault="00052B3F" w:rsidP="00052B3F">
          <w:pPr>
            <w:rPr>
              <w:rFonts w:cs="Times New Roman"/>
            </w:rPr>
          </w:pPr>
          <w:r w:rsidRPr="00294467">
            <w:rPr>
              <w:rFonts w:cs="Times New Roman"/>
              <w:noProof/>
              <w:sz w:val="15"/>
              <w:szCs w:val="15"/>
            </w:rPr>
            <w:fldChar w:fldCharType="end"/>
          </w:r>
        </w:p>
      </w:sdtContent>
    </w:sdt>
    <w:p w14:paraId="79674A3F" w14:textId="77777777" w:rsidR="00C84D5E" w:rsidRPr="00D06382" w:rsidRDefault="00C84D5E" w:rsidP="00E81718">
      <w:pPr>
        <w:pStyle w:val="Heading1"/>
        <w:rPr>
          <w:rFonts w:asciiTheme="minorHAnsi" w:hAnsiTheme="minorHAnsi" w:cs="Times New Roman"/>
          <w:sz w:val="22"/>
          <w:szCs w:val="22"/>
        </w:rPr>
      </w:pPr>
    </w:p>
    <w:p w14:paraId="11E07DDC" w14:textId="77777777" w:rsidR="00C84D5E" w:rsidRDefault="00C84D5E" w:rsidP="00C84D5E"/>
    <w:p w14:paraId="6E1B0606" w14:textId="77777777" w:rsidR="00F5588C" w:rsidRDefault="00F5588C" w:rsidP="00C84D5E"/>
    <w:p w14:paraId="5E11BADF" w14:textId="77777777" w:rsidR="00F5588C" w:rsidRDefault="00F5588C" w:rsidP="00C84D5E"/>
    <w:p w14:paraId="51D57F54" w14:textId="559CBF64" w:rsidR="00052B3F" w:rsidRPr="00F265E9" w:rsidRDefault="00052B3F" w:rsidP="00F265E9">
      <w:pPr>
        <w:pStyle w:val="Heading1"/>
      </w:pPr>
      <w:bookmarkStart w:id="1" w:name="_Toc202742966"/>
      <w:r w:rsidRPr="00F265E9">
        <w:lastRenderedPageBreak/>
        <w:t>List of Abbreviations</w:t>
      </w:r>
      <w:bookmarkEnd w:id="1"/>
    </w:p>
    <w:p w14:paraId="0682AA96" w14:textId="77777777" w:rsidR="00052B3F" w:rsidRPr="00586C47" w:rsidRDefault="00052B3F" w:rsidP="00052B3F">
      <w:pPr>
        <w:rPr>
          <w:rFonts w:cs="Times New Roman"/>
          <w:sz w:val="20"/>
          <w:szCs w:val="20"/>
        </w:rPr>
      </w:pPr>
      <w:r w:rsidRPr="00586C47">
        <w:rPr>
          <w:rFonts w:cs="Times New Roman"/>
          <w:sz w:val="20"/>
          <w:szCs w:val="20"/>
        </w:rPr>
        <w:t>AASHE - Association for the Advancement of Sustainability in Higher Education</w:t>
      </w:r>
    </w:p>
    <w:p w14:paraId="5DD6F3A3" w14:textId="77777777" w:rsidR="00052B3F" w:rsidRPr="00586C47" w:rsidRDefault="00052B3F" w:rsidP="00052B3F">
      <w:pPr>
        <w:rPr>
          <w:rFonts w:cs="Times New Roman"/>
          <w:sz w:val="20"/>
          <w:szCs w:val="20"/>
        </w:rPr>
      </w:pPr>
      <w:r w:rsidRPr="00586C47">
        <w:rPr>
          <w:rFonts w:cs="Times New Roman"/>
          <w:sz w:val="20"/>
          <w:szCs w:val="20"/>
        </w:rPr>
        <w:t>AHUs - Air Handling Units</w:t>
      </w:r>
    </w:p>
    <w:p w14:paraId="1A4DA86E" w14:textId="142971EE" w:rsidR="00052B3F" w:rsidRPr="00586C47" w:rsidRDefault="00052B3F" w:rsidP="009269D8">
      <w:pPr>
        <w:tabs>
          <w:tab w:val="left" w:pos="8396"/>
        </w:tabs>
        <w:rPr>
          <w:rFonts w:cs="Times New Roman"/>
          <w:sz w:val="20"/>
          <w:szCs w:val="20"/>
        </w:rPr>
      </w:pPr>
      <w:r w:rsidRPr="00586C47">
        <w:rPr>
          <w:rFonts w:cs="Times New Roman"/>
          <w:sz w:val="20"/>
          <w:szCs w:val="20"/>
        </w:rPr>
        <w:t>AODA - Accessibility for Ontarians with Disabilities Act</w:t>
      </w:r>
      <w:r w:rsidR="009269D8" w:rsidRPr="00586C47">
        <w:rPr>
          <w:rFonts w:cs="Times New Roman"/>
          <w:sz w:val="20"/>
          <w:szCs w:val="20"/>
        </w:rPr>
        <w:tab/>
      </w:r>
    </w:p>
    <w:p w14:paraId="3043533D" w14:textId="77777777" w:rsidR="00052B3F" w:rsidRPr="00586C47" w:rsidRDefault="00052B3F" w:rsidP="00052B3F">
      <w:pPr>
        <w:rPr>
          <w:rFonts w:cs="Times New Roman"/>
          <w:sz w:val="20"/>
          <w:szCs w:val="20"/>
        </w:rPr>
      </w:pPr>
      <w:r w:rsidRPr="00586C47">
        <w:rPr>
          <w:rFonts w:cs="Times New Roman"/>
          <w:sz w:val="20"/>
          <w:szCs w:val="20"/>
        </w:rPr>
        <w:t>ASHRAE - American Society of Heating, Refrigerating and Air-Conditioning Engineers</w:t>
      </w:r>
    </w:p>
    <w:p w14:paraId="21DD0562" w14:textId="77777777" w:rsidR="00052B3F" w:rsidRPr="00586C47" w:rsidRDefault="00052B3F" w:rsidP="00052B3F">
      <w:pPr>
        <w:rPr>
          <w:rFonts w:cs="Times New Roman"/>
          <w:sz w:val="20"/>
          <w:szCs w:val="20"/>
        </w:rPr>
      </w:pPr>
      <w:r w:rsidRPr="00586C47">
        <w:rPr>
          <w:rFonts w:cs="Times New Roman"/>
          <w:sz w:val="20"/>
          <w:szCs w:val="20"/>
        </w:rPr>
        <w:t>BOMA BEST - Building Owners and Managers Association Building Environmental Standards</w:t>
      </w:r>
    </w:p>
    <w:p w14:paraId="37243940" w14:textId="77777777" w:rsidR="00052B3F" w:rsidRPr="00586C47" w:rsidRDefault="00052B3F" w:rsidP="00052B3F">
      <w:pPr>
        <w:rPr>
          <w:rFonts w:cs="Times New Roman"/>
          <w:sz w:val="20"/>
          <w:szCs w:val="20"/>
        </w:rPr>
      </w:pPr>
      <w:r w:rsidRPr="00586C47">
        <w:rPr>
          <w:rFonts w:cs="Times New Roman"/>
          <w:sz w:val="20"/>
          <w:szCs w:val="20"/>
        </w:rPr>
        <w:t>BREEAM - Building Research Establishment Environmental Assessment Method</w:t>
      </w:r>
    </w:p>
    <w:p w14:paraId="03B50C05" w14:textId="77777777" w:rsidR="00052B3F" w:rsidRPr="00586C47" w:rsidRDefault="00052B3F" w:rsidP="00052B3F">
      <w:pPr>
        <w:rPr>
          <w:rFonts w:cs="Times New Roman"/>
          <w:sz w:val="20"/>
          <w:szCs w:val="20"/>
        </w:rPr>
      </w:pPr>
      <w:r w:rsidRPr="00586C47">
        <w:rPr>
          <w:rFonts w:cs="Times New Roman"/>
          <w:sz w:val="20"/>
          <w:szCs w:val="20"/>
        </w:rPr>
        <w:t>CAGBC - Canada Green Building Council</w:t>
      </w:r>
    </w:p>
    <w:p w14:paraId="539ABF08" w14:textId="77777777" w:rsidR="00052B3F" w:rsidRPr="00586C47" w:rsidRDefault="00052B3F" w:rsidP="00052B3F">
      <w:pPr>
        <w:rPr>
          <w:rFonts w:cs="Times New Roman"/>
          <w:sz w:val="20"/>
          <w:szCs w:val="20"/>
        </w:rPr>
      </w:pPr>
      <w:r w:rsidRPr="00586C47">
        <w:rPr>
          <w:rFonts w:cs="Times New Roman"/>
          <w:sz w:val="20"/>
          <w:szCs w:val="20"/>
        </w:rPr>
        <w:t>CO2e - Carbon Dioxide Equivalent</w:t>
      </w:r>
    </w:p>
    <w:p w14:paraId="729F7DFB" w14:textId="77777777" w:rsidR="00052B3F" w:rsidRPr="00586C47" w:rsidRDefault="00052B3F" w:rsidP="00052B3F">
      <w:pPr>
        <w:rPr>
          <w:rFonts w:cs="Times New Roman"/>
          <w:sz w:val="20"/>
          <w:szCs w:val="20"/>
        </w:rPr>
      </w:pPr>
      <w:r w:rsidRPr="00586C47">
        <w:rPr>
          <w:rFonts w:cs="Times New Roman"/>
          <w:sz w:val="20"/>
          <w:szCs w:val="20"/>
        </w:rPr>
        <w:t>DEI - Diversity, Equity, and Inclusion</w:t>
      </w:r>
    </w:p>
    <w:p w14:paraId="6BB0EB7C" w14:textId="77777777" w:rsidR="00052B3F" w:rsidRPr="00586C47" w:rsidRDefault="00052B3F" w:rsidP="00052B3F">
      <w:pPr>
        <w:rPr>
          <w:rFonts w:cs="Times New Roman"/>
          <w:sz w:val="20"/>
          <w:szCs w:val="20"/>
        </w:rPr>
      </w:pPr>
      <w:r w:rsidRPr="00586C47">
        <w:rPr>
          <w:rFonts w:cs="Times New Roman"/>
          <w:sz w:val="20"/>
          <w:szCs w:val="20"/>
        </w:rPr>
        <w:t>DOASs - Dedicated Outdoor Air Systems</w:t>
      </w:r>
    </w:p>
    <w:p w14:paraId="7D46E410" w14:textId="77777777" w:rsidR="00052B3F" w:rsidRPr="00586C47" w:rsidRDefault="00052B3F" w:rsidP="00052B3F">
      <w:pPr>
        <w:rPr>
          <w:rFonts w:cs="Times New Roman"/>
          <w:sz w:val="20"/>
          <w:szCs w:val="20"/>
        </w:rPr>
      </w:pPr>
      <w:r w:rsidRPr="00586C47">
        <w:rPr>
          <w:rFonts w:cs="Times New Roman"/>
          <w:sz w:val="20"/>
          <w:szCs w:val="20"/>
        </w:rPr>
        <w:t>EPDs - Environmental Product Declarations</w:t>
      </w:r>
    </w:p>
    <w:p w14:paraId="23A828EF" w14:textId="77777777" w:rsidR="00052B3F" w:rsidRPr="00586C47" w:rsidRDefault="00052B3F" w:rsidP="00052B3F">
      <w:pPr>
        <w:rPr>
          <w:rFonts w:cs="Times New Roman"/>
          <w:sz w:val="20"/>
          <w:szCs w:val="20"/>
        </w:rPr>
      </w:pPr>
      <w:r w:rsidRPr="00586C47">
        <w:rPr>
          <w:rFonts w:cs="Times New Roman"/>
          <w:sz w:val="20"/>
          <w:szCs w:val="20"/>
        </w:rPr>
        <w:t>ESCo - Energy Services Company</w:t>
      </w:r>
    </w:p>
    <w:p w14:paraId="05371AB1" w14:textId="77777777" w:rsidR="00052B3F" w:rsidRPr="00586C47" w:rsidRDefault="00052B3F" w:rsidP="00052B3F">
      <w:pPr>
        <w:rPr>
          <w:rFonts w:cs="Times New Roman"/>
          <w:sz w:val="20"/>
          <w:szCs w:val="20"/>
        </w:rPr>
      </w:pPr>
      <w:r w:rsidRPr="00586C47">
        <w:rPr>
          <w:rFonts w:cs="Times New Roman"/>
          <w:sz w:val="20"/>
          <w:szCs w:val="20"/>
        </w:rPr>
        <w:t>ESG - Environmental, Social, and Governance</w:t>
      </w:r>
    </w:p>
    <w:p w14:paraId="2E079ED1" w14:textId="77777777" w:rsidR="00052B3F" w:rsidRPr="00586C47" w:rsidRDefault="00052B3F" w:rsidP="00052B3F">
      <w:pPr>
        <w:rPr>
          <w:rFonts w:cs="Times New Roman"/>
          <w:sz w:val="20"/>
          <w:szCs w:val="20"/>
        </w:rPr>
      </w:pPr>
      <w:r w:rsidRPr="00586C47">
        <w:rPr>
          <w:rFonts w:cs="Times New Roman"/>
          <w:sz w:val="20"/>
          <w:szCs w:val="20"/>
        </w:rPr>
        <w:t>EUC-Environmental and Urban Change</w:t>
      </w:r>
    </w:p>
    <w:p w14:paraId="75647956" w14:textId="77777777" w:rsidR="00052B3F" w:rsidRPr="00586C47" w:rsidRDefault="00052B3F" w:rsidP="00052B3F">
      <w:pPr>
        <w:rPr>
          <w:rFonts w:cs="Times New Roman"/>
          <w:sz w:val="20"/>
          <w:szCs w:val="20"/>
        </w:rPr>
      </w:pPr>
      <w:r w:rsidRPr="00586C47">
        <w:rPr>
          <w:rFonts w:cs="Times New Roman"/>
          <w:sz w:val="20"/>
          <w:szCs w:val="20"/>
        </w:rPr>
        <w:t>EUI - Energy Use Intensity</w:t>
      </w:r>
    </w:p>
    <w:p w14:paraId="2A8FC809" w14:textId="77777777" w:rsidR="00052B3F" w:rsidRPr="00586C47" w:rsidRDefault="00052B3F" w:rsidP="00052B3F">
      <w:pPr>
        <w:rPr>
          <w:rFonts w:cs="Times New Roman"/>
          <w:sz w:val="20"/>
          <w:szCs w:val="20"/>
        </w:rPr>
      </w:pPr>
      <w:r w:rsidRPr="00586C47">
        <w:rPr>
          <w:rFonts w:cs="Times New Roman"/>
          <w:sz w:val="20"/>
          <w:szCs w:val="20"/>
        </w:rPr>
        <w:t>EV - Electric Vehicle</w:t>
      </w:r>
    </w:p>
    <w:p w14:paraId="68F9DB68" w14:textId="77777777" w:rsidR="00052B3F" w:rsidRPr="00586C47" w:rsidRDefault="00052B3F" w:rsidP="00052B3F">
      <w:pPr>
        <w:rPr>
          <w:rFonts w:cs="Times New Roman"/>
          <w:sz w:val="20"/>
          <w:szCs w:val="20"/>
        </w:rPr>
      </w:pPr>
      <w:r w:rsidRPr="00586C47">
        <w:rPr>
          <w:rFonts w:cs="Times New Roman"/>
          <w:sz w:val="20"/>
          <w:szCs w:val="20"/>
        </w:rPr>
        <w:t>EVEMS - Electric Vehicle Energy Management Systems</w:t>
      </w:r>
    </w:p>
    <w:p w14:paraId="54631253" w14:textId="77777777" w:rsidR="00052B3F" w:rsidRPr="00586C47" w:rsidRDefault="00052B3F" w:rsidP="00052B3F">
      <w:pPr>
        <w:rPr>
          <w:rFonts w:cs="Times New Roman"/>
          <w:sz w:val="20"/>
          <w:szCs w:val="20"/>
        </w:rPr>
      </w:pPr>
      <w:r w:rsidRPr="00586C47">
        <w:rPr>
          <w:rFonts w:cs="Times New Roman"/>
          <w:sz w:val="20"/>
          <w:szCs w:val="20"/>
        </w:rPr>
        <w:t>FDD - Fault Detection and Diagnostics</w:t>
      </w:r>
    </w:p>
    <w:p w14:paraId="77C2E96B" w14:textId="77777777" w:rsidR="00052B3F" w:rsidRPr="00586C47" w:rsidRDefault="00052B3F" w:rsidP="00052B3F">
      <w:pPr>
        <w:rPr>
          <w:rFonts w:cs="Times New Roman"/>
          <w:sz w:val="20"/>
          <w:szCs w:val="20"/>
        </w:rPr>
      </w:pPr>
      <w:r w:rsidRPr="00586C47">
        <w:rPr>
          <w:rFonts w:cs="Times New Roman"/>
          <w:sz w:val="20"/>
          <w:szCs w:val="20"/>
        </w:rPr>
        <w:t>GFA - Gross Floor Area</w:t>
      </w:r>
    </w:p>
    <w:p w14:paraId="0B81A3F6" w14:textId="77777777" w:rsidR="00052B3F" w:rsidRPr="00586C47" w:rsidRDefault="00052B3F" w:rsidP="00052B3F">
      <w:pPr>
        <w:rPr>
          <w:rFonts w:cs="Times New Roman"/>
          <w:sz w:val="20"/>
          <w:szCs w:val="20"/>
        </w:rPr>
      </w:pPr>
      <w:r w:rsidRPr="00586C47">
        <w:rPr>
          <w:rFonts w:cs="Times New Roman"/>
          <w:sz w:val="20"/>
          <w:szCs w:val="20"/>
        </w:rPr>
        <w:t>GHG - Greenhouse Gas</w:t>
      </w:r>
    </w:p>
    <w:p w14:paraId="077BD209" w14:textId="77777777" w:rsidR="00052B3F" w:rsidRPr="00586C47" w:rsidRDefault="00052B3F" w:rsidP="00052B3F">
      <w:pPr>
        <w:rPr>
          <w:rFonts w:cs="Times New Roman"/>
          <w:sz w:val="20"/>
          <w:szCs w:val="20"/>
        </w:rPr>
      </w:pPr>
      <w:r w:rsidRPr="00586C47">
        <w:rPr>
          <w:rFonts w:cs="Times New Roman"/>
          <w:sz w:val="20"/>
          <w:szCs w:val="20"/>
        </w:rPr>
        <w:t>GHGI - Greenhouse Gas Intensity</w:t>
      </w:r>
    </w:p>
    <w:p w14:paraId="3435698E" w14:textId="77777777" w:rsidR="00052B3F" w:rsidRPr="00586C47" w:rsidRDefault="00052B3F" w:rsidP="00052B3F">
      <w:pPr>
        <w:rPr>
          <w:rFonts w:cs="Times New Roman"/>
          <w:sz w:val="20"/>
          <w:szCs w:val="20"/>
        </w:rPr>
      </w:pPr>
      <w:r w:rsidRPr="00586C47">
        <w:rPr>
          <w:rFonts w:cs="Times New Roman"/>
          <w:sz w:val="20"/>
          <w:szCs w:val="20"/>
        </w:rPr>
        <w:t>GSI - Green Stormwater Infrastructure</w:t>
      </w:r>
    </w:p>
    <w:p w14:paraId="001F2E9A" w14:textId="77777777" w:rsidR="00052B3F" w:rsidRPr="00586C47" w:rsidRDefault="00052B3F" w:rsidP="00052B3F">
      <w:pPr>
        <w:rPr>
          <w:rFonts w:cs="Times New Roman"/>
          <w:sz w:val="20"/>
          <w:szCs w:val="20"/>
        </w:rPr>
      </w:pPr>
      <w:r w:rsidRPr="00586C47">
        <w:rPr>
          <w:rFonts w:cs="Times New Roman"/>
          <w:sz w:val="20"/>
          <w:szCs w:val="20"/>
        </w:rPr>
        <w:t>HVAC - Heating, Ventilation, and Air Conditioning</w:t>
      </w:r>
    </w:p>
    <w:p w14:paraId="474B7E65" w14:textId="77777777" w:rsidR="00052B3F" w:rsidRPr="00586C47" w:rsidRDefault="00052B3F" w:rsidP="00052B3F">
      <w:pPr>
        <w:rPr>
          <w:rFonts w:cs="Times New Roman"/>
          <w:sz w:val="20"/>
          <w:szCs w:val="20"/>
        </w:rPr>
      </w:pPr>
      <w:r w:rsidRPr="00586C47">
        <w:rPr>
          <w:rFonts w:cs="Times New Roman"/>
          <w:sz w:val="20"/>
          <w:szCs w:val="20"/>
        </w:rPr>
        <w:t>IAQ - Indoor Air Quality</w:t>
      </w:r>
    </w:p>
    <w:p w14:paraId="363CC83A" w14:textId="77777777" w:rsidR="00052B3F" w:rsidRPr="00586C47" w:rsidRDefault="00052B3F" w:rsidP="00052B3F">
      <w:pPr>
        <w:rPr>
          <w:rFonts w:cs="Times New Roman"/>
          <w:sz w:val="20"/>
          <w:szCs w:val="20"/>
        </w:rPr>
      </w:pPr>
      <w:r w:rsidRPr="00586C47">
        <w:rPr>
          <w:rFonts w:cs="Times New Roman"/>
          <w:sz w:val="20"/>
          <w:szCs w:val="20"/>
        </w:rPr>
        <w:lastRenderedPageBreak/>
        <w:t>ID+C - Interior Design and Construction (a LEED rating system)</w:t>
      </w:r>
    </w:p>
    <w:p w14:paraId="54DA31A2" w14:textId="77777777" w:rsidR="00052B3F" w:rsidRPr="00586C47" w:rsidRDefault="00052B3F" w:rsidP="00052B3F">
      <w:pPr>
        <w:rPr>
          <w:rFonts w:cs="Times New Roman"/>
          <w:sz w:val="20"/>
          <w:szCs w:val="20"/>
        </w:rPr>
      </w:pPr>
      <w:r w:rsidRPr="00586C47">
        <w:rPr>
          <w:rFonts w:cs="Times New Roman"/>
          <w:sz w:val="20"/>
          <w:szCs w:val="20"/>
        </w:rPr>
        <w:t>IDP - Integrated Design Process</w:t>
      </w:r>
    </w:p>
    <w:p w14:paraId="51AF0884" w14:textId="77777777" w:rsidR="00052B3F" w:rsidRPr="00586C47" w:rsidRDefault="00052B3F" w:rsidP="00052B3F">
      <w:pPr>
        <w:rPr>
          <w:rFonts w:cs="Times New Roman"/>
          <w:sz w:val="20"/>
          <w:szCs w:val="20"/>
        </w:rPr>
      </w:pPr>
      <w:r w:rsidRPr="00586C47">
        <w:rPr>
          <w:rFonts w:cs="Times New Roman"/>
          <w:sz w:val="20"/>
          <w:szCs w:val="20"/>
        </w:rPr>
        <w:t>IEMP - Integrated Energy Master Plan</w:t>
      </w:r>
    </w:p>
    <w:p w14:paraId="42E682AD" w14:textId="77777777" w:rsidR="00052B3F" w:rsidRPr="00586C47" w:rsidRDefault="00052B3F" w:rsidP="00052B3F">
      <w:pPr>
        <w:rPr>
          <w:rFonts w:cs="Times New Roman"/>
          <w:sz w:val="20"/>
          <w:szCs w:val="20"/>
        </w:rPr>
      </w:pPr>
      <w:r w:rsidRPr="00586C47">
        <w:rPr>
          <w:rFonts w:cs="Times New Roman"/>
          <w:sz w:val="20"/>
          <w:szCs w:val="20"/>
        </w:rPr>
        <w:t>IEQ - Indoor Environmental Quality</w:t>
      </w:r>
    </w:p>
    <w:p w14:paraId="202FEEB5" w14:textId="77777777" w:rsidR="00052B3F" w:rsidRPr="00586C47" w:rsidRDefault="00052B3F" w:rsidP="00052B3F">
      <w:pPr>
        <w:rPr>
          <w:rFonts w:cs="Times New Roman"/>
          <w:sz w:val="20"/>
          <w:szCs w:val="20"/>
        </w:rPr>
      </w:pPr>
      <w:r w:rsidRPr="00586C47">
        <w:rPr>
          <w:rFonts w:cs="Times New Roman"/>
          <w:sz w:val="20"/>
          <w:szCs w:val="20"/>
        </w:rPr>
        <w:t>IoT - Internet of Things</w:t>
      </w:r>
    </w:p>
    <w:p w14:paraId="69E550A5" w14:textId="77777777" w:rsidR="00052B3F" w:rsidRPr="00586C47" w:rsidRDefault="00052B3F" w:rsidP="00052B3F">
      <w:pPr>
        <w:rPr>
          <w:rFonts w:cs="Times New Roman"/>
          <w:sz w:val="20"/>
          <w:szCs w:val="20"/>
        </w:rPr>
      </w:pPr>
      <w:r w:rsidRPr="00586C47">
        <w:rPr>
          <w:rFonts w:cs="Times New Roman"/>
          <w:sz w:val="20"/>
          <w:szCs w:val="20"/>
        </w:rPr>
        <w:t>LCA - Life Cycle Assessment</w:t>
      </w:r>
    </w:p>
    <w:p w14:paraId="1D53C14E" w14:textId="77777777" w:rsidR="00052B3F" w:rsidRPr="00586C47" w:rsidRDefault="00052B3F" w:rsidP="00052B3F">
      <w:pPr>
        <w:rPr>
          <w:rFonts w:cs="Times New Roman"/>
          <w:sz w:val="20"/>
          <w:szCs w:val="20"/>
        </w:rPr>
      </w:pPr>
      <w:r w:rsidRPr="00586C47">
        <w:rPr>
          <w:rFonts w:cs="Times New Roman"/>
          <w:sz w:val="20"/>
          <w:szCs w:val="20"/>
        </w:rPr>
        <w:t>LED - Light-Emitting Diode</w:t>
      </w:r>
    </w:p>
    <w:p w14:paraId="312B8E60" w14:textId="77777777" w:rsidR="00052B3F" w:rsidRPr="00586C47" w:rsidRDefault="00052B3F" w:rsidP="00052B3F">
      <w:pPr>
        <w:rPr>
          <w:rFonts w:cs="Times New Roman"/>
          <w:sz w:val="20"/>
          <w:szCs w:val="20"/>
        </w:rPr>
      </w:pPr>
      <w:r w:rsidRPr="00586C47">
        <w:rPr>
          <w:rFonts w:cs="Times New Roman"/>
          <w:sz w:val="20"/>
          <w:szCs w:val="20"/>
        </w:rPr>
        <w:t>LEED - Leadership in Energy and Environmental Design</w:t>
      </w:r>
    </w:p>
    <w:p w14:paraId="6F01C5D3" w14:textId="77777777" w:rsidR="00052B3F" w:rsidRPr="00586C47" w:rsidRDefault="00052B3F" w:rsidP="00052B3F">
      <w:pPr>
        <w:rPr>
          <w:rFonts w:cs="Times New Roman"/>
          <w:sz w:val="20"/>
          <w:szCs w:val="20"/>
        </w:rPr>
      </w:pPr>
      <w:r w:rsidRPr="00586C47">
        <w:rPr>
          <w:rFonts w:cs="Times New Roman"/>
          <w:sz w:val="20"/>
          <w:szCs w:val="20"/>
        </w:rPr>
        <w:t>LID - Low Impact Development</w:t>
      </w:r>
    </w:p>
    <w:p w14:paraId="320F1E66" w14:textId="77777777" w:rsidR="00052B3F" w:rsidRPr="00586C47" w:rsidRDefault="00052B3F" w:rsidP="00052B3F">
      <w:pPr>
        <w:rPr>
          <w:rFonts w:cs="Times New Roman"/>
          <w:sz w:val="20"/>
          <w:szCs w:val="20"/>
        </w:rPr>
      </w:pPr>
      <w:r w:rsidRPr="00586C47">
        <w:rPr>
          <w:rFonts w:cs="Times New Roman"/>
          <w:sz w:val="20"/>
          <w:szCs w:val="20"/>
        </w:rPr>
        <w:t>M&amp;V - Measurement and Verification</w:t>
      </w:r>
    </w:p>
    <w:p w14:paraId="090DF484" w14:textId="77777777" w:rsidR="00052B3F" w:rsidRPr="00586C47" w:rsidRDefault="00052B3F" w:rsidP="00052B3F">
      <w:pPr>
        <w:rPr>
          <w:rFonts w:cs="Times New Roman"/>
          <w:sz w:val="20"/>
          <w:szCs w:val="20"/>
        </w:rPr>
      </w:pPr>
      <w:r w:rsidRPr="00586C47">
        <w:rPr>
          <w:rFonts w:cs="Times New Roman"/>
          <w:sz w:val="20"/>
          <w:szCs w:val="20"/>
        </w:rPr>
        <w:t>MERV - Minimum Efficiency Reporting Value</w:t>
      </w:r>
    </w:p>
    <w:p w14:paraId="776A2E09" w14:textId="77777777" w:rsidR="00052B3F" w:rsidRPr="00586C47" w:rsidRDefault="00052B3F" w:rsidP="00052B3F">
      <w:pPr>
        <w:rPr>
          <w:rFonts w:cs="Times New Roman"/>
          <w:sz w:val="20"/>
          <w:szCs w:val="20"/>
        </w:rPr>
      </w:pPr>
      <w:r w:rsidRPr="00586C47">
        <w:rPr>
          <w:rFonts w:cs="Times New Roman"/>
          <w:sz w:val="20"/>
          <w:szCs w:val="20"/>
        </w:rPr>
        <w:t>O+M - Operations and Maintenance (a LEED rating system)</w:t>
      </w:r>
    </w:p>
    <w:p w14:paraId="3F75176A" w14:textId="77777777" w:rsidR="00052B3F" w:rsidRPr="00586C47" w:rsidRDefault="00052B3F" w:rsidP="00052B3F">
      <w:pPr>
        <w:rPr>
          <w:rFonts w:cs="Times New Roman"/>
          <w:sz w:val="20"/>
          <w:szCs w:val="20"/>
        </w:rPr>
      </w:pPr>
      <w:r w:rsidRPr="00586C47">
        <w:rPr>
          <w:rFonts w:cs="Times New Roman"/>
          <w:sz w:val="20"/>
          <w:szCs w:val="20"/>
        </w:rPr>
        <w:t>PPAs - Power Purchase Agreements</w:t>
      </w:r>
    </w:p>
    <w:p w14:paraId="0A101900" w14:textId="77777777" w:rsidR="00052B3F" w:rsidRPr="00586C47" w:rsidRDefault="00052B3F" w:rsidP="00052B3F">
      <w:pPr>
        <w:rPr>
          <w:rFonts w:cs="Times New Roman"/>
          <w:sz w:val="20"/>
          <w:szCs w:val="20"/>
        </w:rPr>
      </w:pPr>
      <w:r w:rsidRPr="00586C47">
        <w:rPr>
          <w:rFonts w:cs="Times New Roman"/>
          <w:sz w:val="20"/>
          <w:szCs w:val="20"/>
        </w:rPr>
        <w:t>PV - Photovoltaic</w:t>
      </w:r>
    </w:p>
    <w:p w14:paraId="269BC029" w14:textId="77777777" w:rsidR="00052B3F" w:rsidRPr="00586C47" w:rsidRDefault="00052B3F" w:rsidP="00052B3F">
      <w:pPr>
        <w:rPr>
          <w:rFonts w:cs="Times New Roman"/>
          <w:sz w:val="20"/>
          <w:szCs w:val="20"/>
        </w:rPr>
      </w:pPr>
      <w:r w:rsidRPr="00586C47">
        <w:rPr>
          <w:rFonts w:cs="Times New Roman"/>
          <w:sz w:val="20"/>
          <w:szCs w:val="20"/>
        </w:rPr>
        <w:t>RTUs - Rooftop Units</w:t>
      </w:r>
    </w:p>
    <w:p w14:paraId="4027B059" w14:textId="77777777" w:rsidR="00052B3F" w:rsidRPr="00586C47" w:rsidRDefault="00052B3F" w:rsidP="00052B3F">
      <w:pPr>
        <w:rPr>
          <w:rFonts w:cs="Times New Roman"/>
          <w:sz w:val="20"/>
          <w:szCs w:val="20"/>
        </w:rPr>
      </w:pPr>
      <w:r w:rsidRPr="00586C47">
        <w:rPr>
          <w:rFonts w:cs="Times New Roman"/>
          <w:sz w:val="20"/>
          <w:szCs w:val="20"/>
        </w:rPr>
        <w:t>SDGs - Sustainable Development Goals</w:t>
      </w:r>
    </w:p>
    <w:p w14:paraId="4DA51CCC" w14:textId="77777777" w:rsidR="00052B3F" w:rsidRPr="00586C47" w:rsidRDefault="00052B3F" w:rsidP="00052B3F">
      <w:pPr>
        <w:rPr>
          <w:rFonts w:cs="Times New Roman"/>
          <w:sz w:val="20"/>
          <w:szCs w:val="20"/>
        </w:rPr>
      </w:pPr>
      <w:r w:rsidRPr="00586C47">
        <w:rPr>
          <w:rFonts w:cs="Times New Roman"/>
          <w:sz w:val="20"/>
          <w:szCs w:val="20"/>
        </w:rPr>
        <w:t>SRI - Solar Reflectance Index</w:t>
      </w:r>
    </w:p>
    <w:p w14:paraId="524EAF7A" w14:textId="77777777" w:rsidR="00052B3F" w:rsidRPr="00586C47" w:rsidRDefault="00052B3F" w:rsidP="00052B3F">
      <w:pPr>
        <w:rPr>
          <w:rFonts w:cs="Times New Roman"/>
          <w:sz w:val="20"/>
          <w:szCs w:val="20"/>
        </w:rPr>
      </w:pPr>
      <w:r w:rsidRPr="00586C47">
        <w:rPr>
          <w:rFonts w:cs="Times New Roman"/>
          <w:sz w:val="20"/>
          <w:szCs w:val="20"/>
        </w:rPr>
        <w:t>STARS - Sustainability Tracking, Assessment &amp; Rating System</w:t>
      </w:r>
    </w:p>
    <w:p w14:paraId="2FAEAE58" w14:textId="77777777" w:rsidR="00052B3F" w:rsidRPr="00586C47" w:rsidRDefault="00052B3F" w:rsidP="00052B3F">
      <w:pPr>
        <w:rPr>
          <w:rFonts w:cs="Times New Roman"/>
          <w:sz w:val="20"/>
          <w:szCs w:val="20"/>
        </w:rPr>
      </w:pPr>
      <w:r w:rsidRPr="00586C47">
        <w:rPr>
          <w:rFonts w:cs="Times New Roman"/>
          <w:sz w:val="20"/>
          <w:szCs w:val="20"/>
        </w:rPr>
        <w:t>TEDI - Thermal Energy Demand Intensity</w:t>
      </w:r>
    </w:p>
    <w:p w14:paraId="5B632355" w14:textId="77777777" w:rsidR="00052B3F" w:rsidRPr="00586C47" w:rsidRDefault="00052B3F" w:rsidP="00052B3F">
      <w:pPr>
        <w:rPr>
          <w:rFonts w:cs="Times New Roman"/>
          <w:sz w:val="20"/>
          <w:szCs w:val="20"/>
        </w:rPr>
      </w:pPr>
      <w:r w:rsidRPr="00586C47">
        <w:rPr>
          <w:rFonts w:cs="Times New Roman"/>
          <w:sz w:val="20"/>
          <w:szCs w:val="20"/>
        </w:rPr>
        <w:t>TEUI - Total Energy Use Intensity</w:t>
      </w:r>
    </w:p>
    <w:p w14:paraId="054F6B05" w14:textId="77777777" w:rsidR="00052B3F" w:rsidRPr="00586C47" w:rsidRDefault="00052B3F" w:rsidP="00052B3F">
      <w:pPr>
        <w:rPr>
          <w:rFonts w:cs="Times New Roman"/>
          <w:sz w:val="20"/>
          <w:szCs w:val="20"/>
        </w:rPr>
      </w:pPr>
      <w:r w:rsidRPr="00586C47">
        <w:rPr>
          <w:rFonts w:cs="Times New Roman"/>
          <w:sz w:val="20"/>
          <w:szCs w:val="20"/>
        </w:rPr>
        <w:t>TGS - Toronto Green Standard</w:t>
      </w:r>
    </w:p>
    <w:p w14:paraId="52C94AF3" w14:textId="77777777" w:rsidR="00052B3F" w:rsidRPr="00586C47" w:rsidRDefault="00052B3F" w:rsidP="00052B3F">
      <w:pPr>
        <w:rPr>
          <w:rFonts w:cs="Times New Roman"/>
          <w:sz w:val="20"/>
          <w:szCs w:val="20"/>
        </w:rPr>
      </w:pPr>
      <w:r w:rsidRPr="00586C47">
        <w:rPr>
          <w:rFonts w:cs="Times New Roman"/>
          <w:sz w:val="20"/>
          <w:szCs w:val="20"/>
        </w:rPr>
        <w:t>THE - Times Higher Education</w:t>
      </w:r>
    </w:p>
    <w:p w14:paraId="0F4D2598" w14:textId="77777777" w:rsidR="00052B3F" w:rsidRPr="00586C47" w:rsidRDefault="00052B3F" w:rsidP="00052B3F">
      <w:pPr>
        <w:rPr>
          <w:rFonts w:cs="Times New Roman"/>
          <w:sz w:val="20"/>
          <w:szCs w:val="20"/>
        </w:rPr>
      </w:pPr>
      <w:r w:rsidRPr="00586C47">
        <w:rPr>
          <w:rFonts w:cs="Times New Roman"/>
          <w:sz w:val="20"/>
          <w:szCs w:val="20"/>
        </w:rPr>
        <w:t>TSS - Total Suspended Solids</w:t>
      </w:r>
    </w:p>
    <w:p w14:paraId="1DA7FF7A" w14:textId="77777777" w:rsidR="00052B3F" w:rsidRPr="00586C47" w:rsidRDefault="00052B3F" w:rsidP="00052B3F">
      <w:pPr>
        <w:rPr>
          <w:rFonts w:cs="Times New Roman"/>
          <w:sz w:val="20"/>
          <w:szCs w:val="20"/>
        </w:rPr>
      </w:pPr>
      <w:r w:rsidRPr="00586C47">
        <w:rPr>
          <w:rFonts w:cs="Times New Roman"/>
          <w:sz w:val="20"/>
          <w:szCs w:val="20"/>
        </w:rPr>
        <w:t>UBC - University of British Columbia</w:t>
      </w:r>
    </w:p>
    <w:p w14:paraId="5100BB31" w14:textId="77777777" w:rsidR="00052B3F" w:rsidRPr="00586C47" w:rsidRDefault="00052B3F" w:rsidP="00052B3F">
      <w:pPr>
        <w:rPr>
          <w:rFonts w:cs="Times New Roman"/>
          <w:sz w:val="20"/>
          <w:szCs w:val="20"/>
        </w:rPr>
      </w:pPr>
      <w:r w:rsidRPr="00586C47">
        <w:rPr>
          <w:rFonts w:cs="Times New Roman"/>
          <w:sz w:val="20"/>
          <w:szCs w:val="20"/>
        </w:rPr>
        <w:t>UC Berkeley - University of California, Berkeley</w:t>
      </w:r>
    </w:p>
    <w:p w14:paraId="241A38C5" w14:textId="77777777" w:rsidR="00052B3F" w:rsidRPr="00586C47" w:rsidRDefault="00052B3F" w:rsidP="00052B3F">
      <w:pPr>
        <w:rPr>
          <w:rFonts w:cs="Times New Roman"/>
          <w:sz w:val="20"/>
          <w:szCs w:val="20"/>
        </w:rPr>
      </w:pPr>
      <w:r w:rsidRPr="00586C47">
        <w:rPr>
          <w:rFonts w:cs="Times New Roman"/>
          <w:sz w:val="20"/>
          <w:szCs w:val="20"/>
        </w:rPr>
        <w:lastRenderedPageBreak/>
        <w:t>UC3 - University Climate Change Coalition</w:t>
      </w:r>
    </w:p>
    <w:p w14:paraId="1D009B9C" w14:textId="77777777" w:rsidR="00052B3F" w:rsidRPr="00586C47" w:rsidRDefault="00052B3F" w:rsidP="00052B3F">
      <w:pPr>
        <w:rPr>
          <w:rFonts w:cs="Times New Roman"/>
          <w:sz w:val="20"/>
          <w:szCs w:val="20"/>
        </w:rPr>
      </w:pPr>
      <w:r w:rsidRPr="00586C47">
        <w:rPr>
          <w:rFonts w:cs="Times New Roman"/>
          <w:sz w:val="20"/>
          <w:szCs w:val="20"/>
        </w:rPr>
        <w:t>UoG- University of Guelph</w:t>
      </w:r>
    </w:p>
    <w:p w14:paraId="3B5E726F" w14:textId="77777777" w:rsidR="00052B3F" w:rsidRPr="00586C47" w:rsidRDefault="00052B3F" w:rsidP="00052B3F">
      <w:pPr>
        <w:rPr>
          <w:rFonts w:cs="Times New Roman"/>
          <w:sz w:val="20"/>
          <w:szCs w:val="20"/>
        </w:rPr>
      </w:pPr>
      <w:r w:rsidRPr="00586C47">
        <w:rPr>
          <w:rFonts w:cs="Times New Roman"/>
          <w:sz w:val="20"/>
          <w:szCs w:val="20"/>
        </w:rPr>
        <w:t>UofT - University of Toronto</w:t>
      </w:r>
    </w:p>
    <w:p w14:paraId="3158E018" w14:textId="77777777" w:rsidR="00052B3F" w:rsidRPr="00586C47" w:rsidRDefault="00052B3F" w:rsidP="00052B3F">
      <w:pPr>
        <w:rPr>
          <w:rFonts w:cs="Times New Roman"/>
          <w:sz w:val="20"/>
          <w:szCs w:val="20"/>
        </w:rPr>
      </w:pPr>
      <w:r w:rsidRPr="00586C47">
        <w:rPr>
          <w:rFonts w:cs="Times New Roman"/>
          <w:sz w:val="20"/>
          <w:szCs w:val="20"/>
        </w:rPr>
        <w:t>USGBC - U.S. Green Building Council</w:t>
      </w:r>
    </w:p>
    <w:p w14:paraId="3999D568" w14:textId="77777777" w:rsidR="00052B3F" w:rsidRPr="00586C47" w:rsidRDefault="00052B3F" w:rsidP="00052B3F">
      <w:pPr>
        <w:rPr>
          <w:rFonts w:cs="Times New Roman"/>
          <w:sz w:val="20"/>
          <w:szCs w:val="20"/>
        </w:rPr>
      </w:pPr>
      <w:r w:rsidRPr="00586C47">
        <w:rPr>
          <w:rFonts w:cs="Times New Roman"/>
          <w:sz w:val="20"/>
          <w:szCs w:val="20"/>
        </w:rPr>
        <w:t>UTIAS - University of Toronto Institute for Aerospace Studies</w:t>
      </w:r>
    </w:p>
    <w:p w14:paraId="5D9CC4B5" w14:textId="77777777" w:rsidR="00052B3F" w:rsidRPr="00586C47" w:rsidRDefault="00052B3F" w:rsidP="00052B3F">
      <w:pPr>
        <w:rPr>
          <w:rFonts w:cs="Times New Roman"/>
          <w:sz w:val="20"/>
          <w:szCs w:val="20"/>
        </w:rPr>
      </w:pPr>
      <w:r w:rsidRPr="00586C47">
        <w:rPr>
          <w:rFonts w:cs="Times New Roman"/>
          <w:sz w:val="20"/>
          <w:szCs w:val="20"/>
        </w:rPr>
        <w:t>UTM - University of Toronto Mississauga</w:t>
      </w:r>
    </w:p>
    <w:p w14:paraId="623329FF" w14:textId="77777777" w:rsidR="00052B3F" w:rsidRPr="00586C47" w:rsidRDefault="00052B3F" w:rsidP="00052B3F">
      <w:pPr>
        <w:rPr>
          <w:rFonts w:cs="Times New Roman"/>
          <w:sz w:val="20"/>
          <w:szCs w:val="20"/>
        </w:rPr>
      </w:pPr>
      <w:r w:rsidRPr="00586C47">
        <w:rPr>
          <w:rFonts w:cs="Times New Roman"/>
          <w:sz w:val="20"/>
          <w:szCs w:val="20"/>
        </w:rPr>
        <w:t>UTSC - University of Toronto Scarborough</w:t>
      </w:r>
    </w:p>
    <w:p w14:paraId="5FDEF819" w14:textId="77777777" w:rsidR="00052B3F" w:rsidRPr="00586C47" w:rsidRDefault="00052B3F" w:rsidP="00052B3F">
      <w:pPr>
        <w:rPr>
          <w:rFonts w:cs="Times New Roman"/>
          <w:sz w:val="20"/>
          <w:szCs w:val="20"/>
        </w:rPr>
      </w:pPr>
      <w:r w:rsidRPr="00586C47">
        <w:rPr>
          <w:rFonts w:cs="Times New Roman"/>
          <w:sz w:val="20"/>
          <w:szCs w:val="20"/>
        </w:rPr>
        <w:t>UW - University of Waterloo</w:t>
      </w:r>
    </w:p>
    <w:p w14:paraId="07E0B678" w14:textId="77777777" w:rsidR="00052B3F" w:rsidRPr="00586C47" w:rsidRDefault="00052B3F" w:rsidP="00052B3F">
      <w:pPr>
        <w:rPr>
          <w:rFonts w:cs="Times New Roman"/>
          <w:sz w:val="20"/>
          <w:szCs w:val="20"/>
        </w:rPr>
      </w:pPr>
      <w:r w:rsidRPr="00586C47">
        <w:rPr>
          <w:rFonts w:cs="Times New Roman"/>
          <w:sz w:val="20"/>
          <w:szCs w:val="20"/>
        </w:rPr>
        <w:t>VOCs - Volatile Organic Compounds</w:t>
      </w:r>
    </w:p>
    <w:p w14:paraId="52C4D5D6" w14:textId="77777777" w:rsidR="00052B3F" w:rsidRPr="00586C47" w:rsidRDefault="00052B3F" w:rsidP="00052B3F">
      <w:pPr>
        <w:rPr>
          <w:rFonts w:cs="Times New Roman"/>
          <w:sz w:val="20"/>
          <w:szCs w:val="20"/>
        </w:rPr>
      </w:pPr>
      <w:r w:rsidRPr="00586C47">
        <w:rPr>
          <w:rFonts w:cs="Times New Roman"/>
          <w:sz w:val="20"/>
          <w:szCs w:val="20"/>
        </w:rPr>
        <w:t>WELL - WELL Building Standard</w:t>
      </w:r>
    </w:p>
    <w:p w14:paraId="644C4E14" w14:textId="77777777" w:rsidR="00052B3F" w:rsidRPr="00586C47" w:rsidRDefault="00052B3F" w:rsidP="00052B3F">
      <w:pPr>
        <w:rPr>
          <w:rFonts w:cs="Times New Roman"/>
          <w:sz w:val="20"/>
          <w:szCs w:val="20"/>
        </w:rPr>
      </w:pPr>
      <w:r w:rsidRPr="00586C47">
        <w:rPr>
          <w:rFonts w:cs="Times New Roman"/>
          <w:sz w:val="20"/>
          <w:szCs w:val="20"/>
        </w:rPr>
        <w:t>YU - York University</w:t>
      </w:r>
    </w:p>
    <w:p w14:paraId="5E5C3F36" w14:textId="77777777" w:rsidR="00052B3F" w:rsidRPr="00586C47" w:rsidRDefault="00052B3F" w:rsidP="00052B3F">
      <w:pPr>
        <w:rPr>
          <w:rFonts w:cs="Times New Roman"/>
          <w:sz w:val="20"/>
          <w:szCs w:val="20"/>
        </w:rPr>
      </w:pPr>
      <w:r w:rsidRPr="00586C47">
        <w:rPr>
          <w:rFonts w:cs="Times New Roman"/>
          <w:sz w:val="20"/>
          <w:szCs w:val="20"/>
        </w:rPr>
        <w:t>ZCB - Zero Carbon Building</w:t>
      </w:r>
    </w:p>
    <w:p w14:paraId="13F1F4AE" w14:textId="77777777" w:rsidR="00052B3F" w:rsidRPr="00D06382" w:rsidRDefault="00052B3F" w:rsidP="00052B3F">
      <w:pPr>
        <w:rPr>
          <w:rFonts w:cs="Times New Roman"/>
        </w:rPr>
      </w:pPr>
    </w:p>
    <w:p w14:paraId="44446691" w14:textId="77777777" w:rsidR="00052B3F" w:rsidRPr="00D06382" w:rsidRDefault="00052B3F" w:rsidP="00052B3F">
      <w:pPr>
        <w:rPr>
          <w:rFonts w:eastAsiaTheme="majorEastAsia" w:cs="Times New Roman"/>
          <w:color w:val="B41A2A" w:themeColor="accent1" w:themeShade="BF"/>
        </w:rPr>
      </w:pPr>
      <w:r w:rsidRPr="00D06382">
        <w:rPr>
          <w:rFonts w:cs="Times New Roman"/>
        </w:rPr>
        <w:br w:type="page"/>
      </w:r>
    </w:p>
    <w:p w14:paraId="0F1F9ABA" w14:textId="77777777" w:rsidR="00052B3F" w:rsidRPr="00F265E9" w:rsidRDefault="00052B3F" w:rsidP="00F265E9">
      <w:pPr>
        <w:pStyle w:val="Heading1"/>
      </w:pPr>
      <w:bookmarkStart w:id="2" w:name="_Toc202742967"/>
      <w:r w:rsidRPr="00F265E9">
        <w:lastRenderedPageBreak/>
        <w:t>Glossary of Terms</w:t>
      </w:r>
      <w:bookmarkEnd w:id="2"/>
    </w:p>
    <w:p w14:paraId="188795E3" w14:textId="0AB06FC5" w:rsidR="00052B3F" w:rsidRPr="00586C47" w:rsidRDefault="00052B3F" w:rsidP="00052B3F">
      <w:pPr>
        <w:jc w:val="both"/>
        <w:rPr>
          <w:rFonts w:cs="Times New Roman"/>
          <w:sz w:val="20"/>
          <w:szCs w:val="20"/>
        </w:rPr>
      </w:pPr>
      <w:r w:rsidRPr="00586C47">
        <w:rPr>
          <w:rFonts w:cs="Times New Roman"/>
          <w:b/>
          <w:bCs/>
          <w:sz w:val="20"/>
          <w:szCs w:val="20"/>
        </w:rPr>
        <w:t>Adaptive Building Design:</w:t>
      </w:r>
      <w:r w:rsidRPr="00586C47">
        <w:rPr>
          <w:rFonts w:cs="Times New Roman"/>
          <w:sz w:val="20"/>
          <w:szCs w:val="20"/>
        </w:rPr>
        <w:t xml:space="preserve"> An approach to building design that allows for easy modification of spaces to accommodate changing needs over time.</w:t>
      </w:r>
    </w:p>
    <w:p w14:paraId="74B39A16" w14:textId="756A50F3" w:rsidR="00052B3F" w:rsidRPr="00586C47" w:rsidRDefault="00052B3F" w:rsidP="00052B3F">
      <w:pPr>
        <w:jc w:val="both"/>
        <w:rPr>
          <w:rFonts w:cs="Times New Roman"/>
          <w:sz w:val="20"/>
          <w:szCs w:val="20"/>
        </w:rPr>
      </w:pPr>
      <w:r w:rsidRPr="00586C47">
        <w:rPr>
          <w:rFonts w:cs="Times New Roman"/>
          <w:b/>
          <w:bCs/>
          <w:sz w:val="20"/>
          <w:szCs w:val="20"/>
        </w:rPr>
        <w:t>Air Quality:</w:t>
      </w:r>
      <w:r w:rsidRPr="00586C47">
        <w:rPr>
          <w:rFonts w:cs="Times New Roman"/>
          <w:sz w:val="20"/>
          <w:szCs w:val="20"/>
        </w:rPr>
        <w:t xml:space="preserve"> A component of the TGS focusing on reducing emissions from transportation and improving local air quality.</w:t>
      </w:r>
    </w:p>
    <w:p w14:paraId="781B1738" w14:textId="17320804" w:rsidR="00052B3F" w:rsidRPr="00586C47" w:rsidRDefault="00052B3F" w:rsidP="00052B3F">
      <w:pPr>
        <w:jc w:val="both"/>
        <w:rPr>
          <w:rFonts w:cs="Times New Roman"/>
          <w:sz w:val="20"/>
          <w:szCs w:val="20"/>
        </w:rPr>
      </w:pPr>
      <w:r w:rsidRPr="00586C47">
        <w:rPr>
          <w:rFonts w:cs="Times New Roman"/>
          <w:b/>
          <w:bCs/>
          <w:sz w:val="20"/>
          <w:szCs w:val="20"/>
        </w:rPr>
        <w:t>Airtightness:</w:t>
      </w:r>
      <w:r w:rsidRPr="00586C47">
        <w:rPr>
          <w:rFonts w:cs="Times New Roman"/>
          <w:sz w:val="20"/>
          <w:szCs w:val="20"/>
        </w:rPr>
        <w:t xml:space="preserve"> The resistance of the building envelope to inward or outward air leakage. Stringent airtightness requirements are a key feature of standards like Passive House.</w:t>
      </w:r>
    </w:p>
    <w:p w14:paraId="14C2D266" w14:textId="7614CE0F" w:rsidR="00052B3F" w:rsidRPr="00586C47" w:rsidRDefault="00052B3F" w:rsidP="00052B3F">
      <w:pPr>
        <w:jc w:val="both"/>
        <w:rPr>
          <w:rFonts w:cs="Times New Roman"/>
          <w:sz w:val="20"/>
          <w:szCs w:val="20"/>
        </w:rPr>
      </w:pPr>
      <w:r w:rsidRPr="00586C47">
        <w:rPr>
          <w:rFonts w:cs="Times New Roman"/>
          <w:b/>
          <w:bCs/>
          <w:sz w:val="20"/>
          <w:szCs w:val="20"/>
        </w:rPr>
        <w:t>Biophilic Design:</w:t>
      </w:r>
      <w:r w:rsidRPr="00586C47">
        <w:rPr>
          <w:rFonts w:cs="Times New Roman"/>
          <w:sz w:val="20"/>
          <w:szCs w:val="20"/>
        </w:rPr>
        <w:t xml:space="preserve"> An approach to architecture that seeks to connect building occupants more closely to nature through the use of natural materials, patterns, and forms.</w:t>
      </w:r>
    </w:p>
    <w:p w14:paraId="6F3298DB" w14:textId="736B4A78" w:rsidR="00052B3F" w:rsidRPr="00586C47" w:rsidRDefault="00052B3F" w:rsidP="00052B3F">
      <w:pPr>
        <w:jc w:val="both"/>
        <w:rPr>
          <w:rFonts w:cs="Times New Roman"/>
          <w:sz w:val="20"/>
          <w:szCs w:val="20"/>
        </w:rPr>
      </w:pPr>
      <w:r w:rsidRPr="00586C47">
        <w:rPr>
          <w:rFonts w:cs="Times New Roman"/>
          <w:b/>
          <w:bCs/>
          <w:sz w:val="20"/>
          <w:szCs w:val="20"/>
        </w:rPr>
        <w:t>Bird-Friendly Design:</w:t>
      </w:r>
      <w:r w:rsidRPr="00586C47">
        <w:rPr>
          <w:rFonts w:cs="Times New Roman"/>
          <w:sz w:val="20"/>
          <w:szCs w:val="20"/>
        </w:rPr>
        <w:t xml:space="preserve"> TGS requirements to reduce bird collisions with buildings through measures such as visual markers on glass surfaces.</w:t>
      </w:r>
    </w:p>
    <w:p w14:paraId="565C4B51" w14:textId="3E7396C1" w:rsidR="00052B3F" w:rsidRPr="00586C47" w:rsidRDefault="00052B3F" w:rsidP="00052B3F">
      <w:pPr>
        <w:jc w:val="both"/>
        <w:rPr>
          <w:rFonts w:cs="Times New Roman"/>
          <w:sz w:val="20"/>
          <w:szCs w:val="20"/>
        </w:rPr>
      </w:pPr>
      <w:r w:rsidRPr="00586C47">
        <w:rPr>
          <w:rFonts w:cs="Times New Roman"/>
          <w:b/>
          <w:bCs/>
          <w:sz w:val="20"/>
          <w:szCs w:val="20"/>
        </w:rPr>
        <w:t xml:space="preserve">Building Owners and Managers Association Building Environmental Standards (BOMA BEST): </w:t>
      </w:r>
      <w:r w:rsidRPr="00586C47">
        <w:rPr>
          <w:rFonts w:cs="Times New Roman"/>
          <w:sz w:val="20"/>
          <w:szCs w:val="20"/>
        </w:rPr>
        <w:t>A Canadian green building certification program specifically designed for existing buildings.</w:t>
      </w:r>
    </w:p>
    <w:p w14:paraId="100A7FD2" w14:textId="662F44E9" w:rsidR="00052B3F" w:rsidRPr="00586C47" w:rsidRDefault="00052B3F" w:rsidP="00052B3F">
      <w:pPr>
        <w:jc w:val="both"/>
        <w:rPr>
          <w:rFonts w:cs="Times New Roman"/>
          <w:sz w:val="20"/>
          <w:szCs w:val="20"/>
        </w:rPr>
      </w:pPr>
      <w:r w:rsidRPr="00586C47">
        <w:rPr>
          <w:rFonts w:cs="Times New Roman"/>
          <w:b/>
          <w:bCs/>
          <w:sz w:val="20"/>
          <w:szCs w:val="20"/>
        </w:rPr>
        <w:t>BOMA BEST Certification Levels:</w:t>
      </w:r>
      <w:r w:rsidRPr="00586C47">
        <w:rPr>
          <w:rFonts w:cs="Times New Roman"/>
          <w:sz w:val="20"/>
          <w:szCs w:val="20"/>
        </w:rPr>
        <w:t xml:space="preserve"> Five levels of certification are: Certified, Bronze, Silver, Gold, and Platinum - based on the percentage score achieved.</w:t>
      </w:r>
    </w:p>
    <w:p w14:paraId="225BFE15" w14:textId="7C6A1DD9" w:rsidR="00052B3F" w:rsidRPr="00586C47" w:rsidRDefault="00052B3F" w:rsidP="00052B3F">
      <w:pPr>
        <w:jc w:val="both"/>
        <w:rPr>
          <w:rFonts w:cs="Times New Roman"/>
          <w:sz w:val="20"/>
          <w:szCs w:val="20"/>
        </w:rPr>
      </w:pPr>
      <w:r w:rsidRPr="00586C47">
        <w:rPr>
          <w:rFonts w:cs="Times New Roman"/>
          <w:b/>
          <w:bCs/>
          <w:sz w:val="20"/>
          <w:szCs w:val="20"/>
        </w:rPr>
        <w:t>Building Automation System</w:t>
      </w:r>
      <w:r w:rsidRPr="00586C47">
        <w:rPr>
          <w:rFonts w:cs="Times New Roman"/>
          <w:sz w:val="20"/>
          <w:szCs w:val="20"/>
        </w:rPr>
        <w:t>: A centralized network of software and hardware that monitors and controls a building</w:t>
      </w:r>
      <w:r w:rsidR="00027B17">
        <w:rPr>
          <w:rFonts w:cs="Times New Roman"/>
          <w:sz w:val="20"/>
          <w:szCs w:val="20"/>
        </w:rPr>
        <w:t>’</w:t>
      </w:r>
      <w:r w:rsidRPr="00586C47">
        <w:rPr>
          <w:rFonts w:cs="Times New Roman"/>
          <w:sz w:val="20"/>
          <w:szCs w:val="20"/>
        </w:rPr>
        <w:t>s systems, including HVAC, lighting, and security.</w:t>
      </w:r>
    </w:p>
    <w:p w14:paraId="4DD52D6F" w14:textId="77777777" w:rsidR="00052B3F" w:rsidRPr="00586C47" w:rsidRDefault="00052B3F" w:rsidP="00052B3F">
      <w:pPr>
        <w:jc w:val="both"/>
        <w:rPr>
          <w:rFonts w:cs="Times New Roman"/>
          <w:sz w:val="20"/>
          <w:szCs w:val="20"/>
        </w:rPr>
      </w:pPr>
      <w:r w:rsidRPr="00586C47">
        <w:rPr>
          <w:rFonts w:cs="Times New Roman"/>
          <w:b/>
          <w:bCs/>
          <w:sz w:val="20"/>
          <w:szCs w:val="20"/>
        </w:rPr>
        <w:t>Building Research Establishment Environmental Assessment Method (BREEAM):</w:t>
      </w:r>
      <w:r w:rsidRPr="00586C47">
        <w:rPr>
          <w:rFonts w:cs="Times New Roman"/>
          <w:sz w:val="20"/>
          <w:szCs w:val="20"/>
        </w:rPr>
        <w:t xml:space="preserve"> A sustainability assessment method for master planning projects, infrastructure, and buildings originating in the UK.</w:t>
      </w:r>
    </w:p>
    <w:p w14:paraId="4D953680" w14:textId="587CFBD0" w:rsidR="00052B3F" w:rsidRPr="00586C47" w:rsidRDefault="00052B3F" w:rsidP="00052B3F">
      <w:pPr>
        <w:jc w:val="both"/>
        <w:rPr>
          <w:rFonts w:cs="Times New Roman"/>
          <w:sz w:val="20"/>
          <w:szCs w:val="20"/>
        </w:rPr>
      </w:pPr>
      <w:r w:rsidRPr="00586C47">
        <w:rPr>
          <w:rFonts w:cs="Times New Roman"/>
          <w:b/>
          <w:bCs/>
          <w:sz w:val="20"/>
          <w:szCs w:val="20"/>
        </w:rPr>
        <w:t>CAGBC Zero Carbon Building Standard:</w:t>
      </w:r>
      <w:r w:rsidRPr="00586C47">
        <w:rPr>
          <w:rFonts w:cs="Times New Roman"/>
          <w:sz w:val="20"/>
          <w:szCs w:val="20"/>
        </w:rPr>
        <w:t xml:space="preserve"> A Canadian standard focused on reducing carbon emissions in buildings, addressing both operational and embodied carbon.</w:t>
      </w:r>
    </w:p>
    <w:p w14:paraId="15C99412" w14:textId="29535C56" w:rsidR="00052B3F" w:rsidRPr="00586C47" w:rsidRDefault="00052B3F" w:rsidP="00052B3F">
      <w:pPr>
        <w:jc w:val="both"/>
        <w:rPr>
          <w:rFonts w:cs="Times New Roman"/>
          <w:sz w:val="20"/>
          <w:szCs w:val="20"/>
        </w:rPr>
      </w:pPr>
      <w:r w:rsidRPr="00586C47">
        <w:rPr>
          <w:rFonts w:cs="Times New Roman"/>
          <w:b/>
          <w:bCs/>
          <w:sz w:val="20"/>
          <w:szCs w:val="20"/>
        </w:rPr>
        <w:t>Campus as a Living Lab:</w:t>
      </w:r>
      <w:r w:rsidRPr="00586C47">
        <w:rPr>
          <w:rFonts w:cs="Times New Roman"/>
          <w:sz w:val="20"/>
          <w:szCs w:val="20"/>
        </w:rPr>
        <w:t xml:space="preserve"> A program that facilitates the use of campus infrastructure and operations as a testbed for innovative research and teaching in sustainability.</w:t>
      </w:r>
    </w:p>
    <w:p w14:paraId="147A944C" w14:textId="4538A65F" w:rsidR="00052B3F" w:rsidRPr="00586C47" w:rsidRDefault="00052B3F" w:rsidP="00052B3F">
      <w:pPr>
        <w:jc w:val="both"/>
        <w:rPr>
          <w:rFonts w:cs="Times New Roman"/>
          <w:sz w:val="20"/>
          <w:szCs w:val="20"/>
        </w:rPr>
      </w:pPr>
      <w:r w:rsidRPr="00586C47">
        <w:rPr>
          <w:rFonts w:cs="Times New Roman"/>
          <w:b/>
          <w:bCs/>
          <w:sz w:val="20"/>
          <w:szCs w:val="20"/>
        </w:rPr>
        <w:t>Carbon Capture and Utilization:</w:t>
      </w:r>
      <w:r w:rsidRPr="00586C47">
        <w:rPr>
          <w:rFonts w:cs="Times New Roman"/>
          <w:sz w:val="20"/>
          <w:szCs w:val="20"/>
        </w:rPr>
        <w:t xml:space="preserve"> Technologies and processes that capture carbon dioxide emissions and convert them into useful products, an emerging area of research in university sustainability efforts.</w:t>
      </w:r>
    </w:p>
    <w:p w14:paraId="07D9145B" w14:textId="04523C99" w:rsidR="00052B3F" w:rsidRPr="00586C47" w:rsidRDefault="00193864" w:rsidP="00052B3F">
      <w:pPr>
        <w:jc w:val="both"/>
        <w:rPr>
          <w:rFonts w:cs="Times New Roman"/>
          <w:sz w:val="20"/>
          <w:szCs w:val="20"/>
        </w:rPr>
      </w:pPr>
      <w:r>
        <w:rPr>
          <w:rFonts w:cs="Times New Roman"/>
          <w:b/>
          <w:bCs/>
          <w:sz w:val="20"/>
          <w:szCs w:val="20"/>
        </w:rPr>
        <w:t>Net zero</w:t>
      </w:r>
      <w:r w:rsidR="00052B3F" w:rsidRPr="00586C47">
        <w:rPr>
          <w:rFonts w:cs="Times New Roman"/>
          <w:b/>
          <w:bCs/>
          <w:sz w:val="20"/>
          <w:szCs w:val="20"/>
        </w:rPr>
        <w:t>:</w:t>
      </w:r>
      <w:r w:rsidR="00052B3F" w:rsidRPr="00586C47">
        <w:rPr>
          <w:rFonts w:cs="Times New Roman"/>
          <w:sz w:val="20"/>
          <w:szCs w:val="20"/>
        </w:rPr>
        <w:t xml:space="preserve"> A state in which the net greenhouse gas emissions associated with an institution</w:t>
      </w:r>
      <w:r w:rsidR="00027B17">
        <w:rPr>
          <w:rFonts w:cs="Times New Roman"/>
          <w:sz w:val="20"/>
          <w:szCs w:val="20"/>
        </w:rPr>
        <w:t>’</w:t>
      </w:r>
      <w:r w:rsidR="00052B3F" w:rsidRPr="00586C47">
        <w:rPr>
          <w:rFonts w:cs="Times New Roman"/>
          <w:sz w:val="20"/>
          <w:szCs w:val="20"/>
        </w:rPr>
        <w:t>s activities are zero, typically achieved through a combination of emissions reduction and offsetting measures.</w:t>
      </w:r>
    </w:p>
    <w:p w14:paraId="347A9927" w14:textId="5061A732" w:rsidR="00052B3F" w:rsidRPr="00586C47" w:rsidRDefault="00052B3F" w:rsidP="00052B3F">
      <w:pPr>
        <w:jc w:val="both"/>
        <w:rPr>
          <w:rFonts w:cs="Times New Roman"/>
          <w:sz w:val="20"/>
          <w:szCs w:val="20"/>
        </w:rPr>
      </w:pPr>
      <w:r w:rsidRPr="00586C47">
        <w:rPr>
          <w:rFonts w:cs="Times New Roman"/>
          <w:b/>
          <w:bCs/>
          <w:sz w:val="20"/>
          <w:szCs w:val="20"/>
        </w:rPr>
        <w:t>Carbon Offset:</w:t>
      </w:r>
      <w:r w:rsidRPr="00586C47">
        <w:rPr>
          <w:rFonts w:cs="Times New Roman"/>
          <w:sz w:val="20"/>
          <w:szCs w:val="20"/>
        </w:rPr>
        <w:t xml:space="preserve"> A reduction in greenhouse gas emissions made to compensate for emissions produced elsewhere.</w:t>
      </w:r>
    </w:p>
    <w:p w14:paraId="11E312C9" w14:textId="6A40BB63" w:rsidR="00052B3F" w:rsidRPr="00586C47" w:rsidRDefault="00052B3F" w:rsidP="00052B3F">
      <w:pPr>
        <w:jc w:val="both"/>
        <w:rPr>
          <w:rFonts w:cs="Times New Roman"/>
          <w:sz w:val="20"/>
          <w:szCs w:val="20"/>
        </w:rPr>
      </w:pPr>
      <w:r w:rsidRPr="00586C47">
        <w:rPr>
          <w:rFonts w:cs="Times New Roman"/>
          <w:b/>
          <w:bCs/>
          <w:sz w:val="20"/>
          <w:szCs w:val="20"/>
        </w:rPr>
        <w:t>Certification Approach:</w:t>
      </w:r>
      <w:r w:rsidRPr="00586C47">
        <w:rPr>
          <w:rFonts w:cs="Times New Roman"/>
          <w:sz w:val="20"/>
          <w:szCs w:val="20"/>
        </w:rPr>
        <w:t xml:space="preserve"> The method by which a green building standard assesses and recognizes building performance, such as points-based systems or performance targets.</w:t>
      </w:r>
    </w:p>
    <w:p w14:paraId="7483EDC0" w14:textId="6E73C45B" w:rsidR="00052B3F" w:rsidRPr="00586C47" w:rsidRDefault="00052B3F" w:rsidP="00052B3F">
      <w:pPr>
        <w:jc w:val="both"/>
        <w:rPr>
          <w:rFonts w:cs="Times New Roman"/>
          <w:sz w:val="20"/>
          <w:szCs w:val="20"/>
        </w:rPr>
      </w:pPr>
      <w:r w:rsidRPr="00586C47">
        <w:rPr>
          <w:rFonts w:cs="Times New Roman"/>
          <w:b/>
          <w:bCs/>
          <w:sz w:val="20"/>
          <w:szCs w:val="20"/>
        </w:rPr>
        <w:t>Circadian Lighting:</w:t>
      </w:r>
      <w:r w:rsidRPr="00586C47">
        <w:rPr>
          <w:rFonts w:cs="Times New Roman"/>
          <w:sz w:val="20"/>
          <w:szCs w:val="20"/>
        </w:rPr>
        <w:t xml:space="preserve"> Lighting systems designed to support the human circadian rhythm by mimicking natural light patterns throughout the day.</w:t>
      </w:r>
    </w:p>
    <w:p w14:paraId="613587DE" w14:textId="47C1BCC6" w:rsidR="00052B3F" w:rsidRPr="00586C47" w:rsidRDefault="00052B3F" w:rsidP="00052B3F">
      <w:pPr>
        <w:jc w:val="both"/>
        <w:rPr>
          <w:rFonts w:cs="Times New Roman"/>
          <w:sz w:val="20"/>
          <w:szCs w:val="20"/>
        </w:rPr>
      </w:pPr>
      <w:r w:rsidRPr="00586C47">
        <w:rPr>
          <w:rFonts w:cs="Times New Roman"/>
          <w:b/>
          <w:bCs/>
          <w:sz w:val="20"/>
          <w:szCs w:val="20"/>
        </w:rPr>
        <w:lastRenderedPageBreak/>
        <w:t>Climate Risk Assessment:</w:t>
      </w:r>
      <w:r w:rsidRPr="00586C47">
        <w:rPr>
          <w:rFonts w:cs="Times New Roman"/>
          <w:sz w:val="20"/>
          <w:szCs w:val="20"/>
        </w:rPr>
        <w:t xml:space="preserve"> A systematic process of evaluating the potential impacts of climate change on a building or campus, informing resilience strategies.</w:t>
      </w:r>
    </w:p>
    <w:p w14:paraId="6847E111" w14:textId="4303D5F8" w:rsidR="00052B3F" w:rsidRPr="00586C47" w:rsidRDefault="00052B3F" w:rsidP="00052B3F">
      <w:pPr>
        <w:jc w:val="both"/>
        <w:rPr>
          <w:rFonts w:cs="Times New Roman"/>
          <w:sz w:val="20"/>
          <w:szCs w:val="20"/>
        </w:rPr>
      </w:pPr>
      <w:r w:rsidRPr="00586C47">
        <w:rPr>
          <w:rFonts w:cs="Times New Roman"/>
          <w:b/>
          <w:bCs/>
          <w:sz w:val="20"/>
          <w:szCs w:val="20"/>
        </w:rPr>
        <w:t>Commissioning:</w:t>
      </w:r>
      <w:r w:rsidRPr="00586C47">
        <w:rPr>
          <w:rFonts w:cs="Times New Roman"/>
          <w:sz w:val="20"/>
          <w:szCs w:val="20"/>
        </w:rPr>
        <w:t xml:space="preserve"> The process of verifying that a building</w:t>
      </w:r>
      <w:r w:rsidR="00027B17">
        <w:rPr>
          <w:rFonts w:cs="Times New Roman"/>
          <w:sz w:val="20"/>
          <w:szCs w:val="20"/>
        </w:rPr>
        <w:t>’</w:t>
      </w:r>
      <w:r w:rsidRPr="00586C47">
        <w:rPr>
          <w:rFonts w:cs="Times New Roman"/>
          <w:sz w:val="20"/>
          <w:szCs w:val="20"/>
        </w:rPr>
        <w:t>s systems are designed, installed, and tested to perform according to the design intent and the building owner</w:t>
      </w:r>
      <w:r w:rsidR="00027B17">
        <w:rPr>
          <w:rFonts w:cs="Times New Roman"/>
          <w:sz w:val="20"/>
          <w:szCs w:val="20"/>
        </w:rPr>
        <w:t>’</w:t>
      </w:r>
      <w:r w:rsidRPr="00586C47">
        <w:rPr>
          <w:rFonts w:cs="Times New Roman"/>
          <w:sz w:val="20"/>
          <w:szCs w:val="20"/>
        </w:rPr>
        <w:t>s operational needs.</w:t>
      </w:r>
    </w:p>
    <w:p w14:paraId="0AEB6FE5" w14:textId="449CA063" w:rsidR="00052B3F" w:rsidRPr="00586C47" w:rsidRDefault="00052B3F" w:rsidP="00052B3F">
      <w:pPr>
        <w:jc w:val="both"/>
        <w:rPr>
          <w:rFonts w:cs="Times New Roman"/>
          <w:sz w:val="20"/>
          <w:szCs w:val="20"/>
        </w:rPr>
      </w:pPr>
      <w:r w:rsidRPr="00586C47">
        <w:rPr>
          <w:rFonts w:cs="Times New Roman"/>
          <w:b/>
          <w:bCs/>
          <w:sz w:val="20"/>
          <w:szCs w:val="20"/>
        </w:rPr>
        <w:t>Community Employment Benefits:</w:t>
      </w:r>
      <w:r w:rsidRPr="00586C47">
        <w:rPr>
          <w:rFonts w:cs="Times New Roman"/>
          <w:sz w:val="20"/>
          <w:szCs w:val="20"/>
        </w:rPr>
        <w:t xml:space="preserve"> Initiatives that promote local employment and training opportunities in construction projects, particularly for underrepresented groups.</w:t>
      </w:r>
    </w:p>
    <w:p w14:paraId="29B73745" w14:textId="5F4A68A0" w:rsidR="00052B3F" w:rsidRPr="00586C47" w:rsidRDefault="00052B3F" w:rsidP="00052B3F">
      <w:pPr>
        <w:jc w:val="both"/>
        <w:rPr>
          <w:rFonts w:cs="Times New Roman"/>
          <w:sz w:val="20"/>
          <w:szCs w:val="20"/>
        </w:rPr>
      </w:pPr>
      <w:r w:rsidRPr="00586C47">
        <w:rPr>
          <w:rFonts w:cs="Times New Roman"/>
          <w:b/>
          <w:bCs/>
          <w:sz w:val="20"/>
          <w:szCs w:val="20"/>
        </w:rPr>
        <w:t>Continuous Commissioning:</w:t>
      </w:r>
      <w:r w:rsidRPr="00586C47">
        <w:rPr>
          <w:rFonts w:cs="Times New Roman"/>
          <w:sz w:val="20"/>
          <w:szCs w:val="20"/>
        </w:rPr>
        <w:t xml:space="preserve"> An ongoing process to resolve operating problems, improve comfort, optimize energy use, and identify retrofits for existing commercial and institutional buildings and central plant facilities.</w:t>
      </w:r>
    </w:p>
    <w:p w14:paraId="6F682983" w14:textId="197A0C8A" w:rsidR="00052B3F" w:rsidRPr="00586C47" w:rsidRDefault="00052B3F" w:rsidP="00052B3F">
      <w:pPr>
        <w:jc w:val="both"/>
        <w:rPr>
          <w:rFonts w:cs="Times New Roman"/>
          <w:sz w:val="20"/>
          <w:szCs w:val="20"/>
        </w:rPr>
      </w:pPr>
      <w:r w:rsidRPr="00586C47">
        <w:rPr>
          <w:rFonts w:cs="Times New Roman"/>
          <w:b/>
          <w:bCs/>
          <w:sz w:val="20"/>
          <w:szCs w:val="20"/>
        </w:rPr>
        <w:t>Continuous Improvement</w:t>
      </w:r>
      <w:r w:rsidRPr="00586C47">
        <w:rPr>
          <w:rFonts w:cs="Times New Roman"/>
          <w:sz w:val="20"/>
          <w:szCs w:val="20"/>
        </w:rPr>
        <w:t>: A principle emphasized in BOMA BEST, encouraging ongoing enhancements in building performance and sustainability practices.</w:t>
      </w:r>
    </w:p>
    <w:p w14:paraId="446066D6" w14:textId="0302B22D" w:rsidR="00052B3F" w:rsidRPr="00586C47" w:rsidRDefault="00052B3F" w:rsidP="00052B3F">
      <w:pPr>
        <w:jc w:val="both"/>
        <w:rPr>
          <w:rFonts w:cs="Times New Roman"/>
          <w:sz w:val="20"/>
          <w:szCs w:val="20"/>
        </w:rPr>
      </w:pPr>
      <w:r w:rsidRPr="00586C47">
        <w:rPr>
          <w:rFonts w:cs="Times New Roman"/>
          <w:b/>
          <w:bCs/>
          <w:sz w:val="20"/>
          <w:szCs w:val="20"/>
        </w:rPr>
        <w:t>Deep Energy Retrofit</w:t>
      </w:r>
      <w:r w:rsidRPr="00586C47">
        <w:rPr>
          <w:rFonts w:cs="Times New Roman"/>
          <w:sz w:val="20"/>
          <w:szCs w:val="20"/>
        </w:rPr>
        <w:t>: A whole-building analysis and construction process that achieves much larger energy cost savings than those of simpler energy retrofits and fundamentally enhances the building value.</w:t>
      </w:r>
    </w:p>
    <w:p w14:paraId="1C1226C2" w14:textId="5F2E01AA" w:rsidR="00052B3F" w:rsidRPr="00586C47" w:rsidRDefault="00052B3F" w:rsidP="00052B3F">
      <w:pPr>
        <w:jc w:val="both"/>
        <w:rPr>
          <w:rFonts w:cs="Times New Roman"/>
          <w:sz w:val="20"/>
          <w:szCs w:val="20"/>
        </w:rPr>
      </w:pPr>
      <w:r w:rsidRPr="00586C47">
        <w:rPr>
          <w:rFonts w:cs="Times New Roman"/>
          <w:b/>
          <w:bCs/>
          <w:sz w:val="20"/>
          <w:szCs w:val="20"/>
        </w:rPr>
        <w:t>Demand-Controlled Ventilation</w:t>
      </w:r>
      <w:r w:rsidRPr="00586C47">
        <w:rPr>
          <w:rFonts w:cs="Times New Roman"/>
          <w:sz w:val="20"/>
          <w:szCs w:val="20"/>
        </w:rPr>
        <w:t>: A ventilation system that adjusts outdoor air intake based on occupancy levels, improving energy efficiency while maintaining indoor air quality.</w:t>
      </w:r>
    </w:p>
    <w:p w14:paraId="78DB12F0" w14:textId="17DB9D4B" w:rsidR="00052B3F" w:rsidRPr="00586C47" w:rsidRDefault="00052B3F" w:rsidP="00052B3F">
      <w:pPr>
        <w:jc w:val="both"/>
        <w:rPr>
          <w:rFonts w:cs="Times New Roman"/>
          <w:sz w:val="20"/>
          <w:szCs w:val="20"/>
        </w:rPr>
      </w:pPr>
      <w:r w:rsidRPr="00586C47">
        <w:rPr>
          <w:rFonts w:cs="Times New Roman"/>
          <w:b/>
          <w:bCs/>
          <w:sz w:val="20"/>
          <w:szCs w:val="20"/>
        </w:rPr>
        <w:t>Development Charge Refund Program</w:t>
      </w:r>
      <w:r w:rsidRPr="00586C47">
        <w:rPr>
          <w:rFonts w:cs="Times New Roman"/>
          <w:sz w:val="20"/>
          <w:szCs w:val="20"/>
        </w:rPr>
        <w:t>: A financial incentive offered by the City of Toronto for projects that achieve Tier 2 or higher performance levels in the TGS.</w:t>
      </w:r>
    </w:p>
    <w:p w14:paraId="4B70D264" w14:textId="09E7ACC4" w:rsidR="00052B3F" w:rsidRPr="00586C47" w:rsidRDefault="00052B3F" w:rsidP="00052B3F">
      <w:pPr>
        <w:jc w:val="both"/>
        <w:rPr>
          <w:rFonts w:cs="Times New Roman"/>
          <w:sz w:val="20"/>
          <w:szCs w:val="20"/>
        </w:rPr>
      </w:pPr>
      <w:r w:rsidRPr="00586C47">
        <w:rPr>
          <w:rFonts w:cs="Times New Roman"/>
          <w:b/>
          <w:bCs/>
          <w:sz w:val="20"/>
          <w:szCs w:val="20"/>
        </w:rPr>
        <w:t>District Energy Systems:</w:t>
      </w:r>
      <w:r w:rsidRPr="00586C47">
        <w:rPr>
          <w:rFonts w:cs="Times New Roman"/>
          <w:sz w:val="20"/>
          <w:szCs w:val="20"/>
        </w:rPr>
        <w:t xml:space="preserve"> Centralized systems that produce and distribute thermal energy (heating and/or cooling) to multiple buildings in a district, often more efficient than individual building systems.</w:t>
      </w:r>
    </w:p>
    <w:p w14:paraId="42441980" w14:textId="77777777" w:rsidR="00052B3F" w:rsidRPr="00586C47" w:rsidRDefault="00052B3F" w:rsidP="00052B3F">
      <w:pPr>
        <w:jc w:val="both"/>
        <w:rPr>
          <w:rFonts w:cs="Times New Roman"/>
          <w:sz w:val="20"/>
          <w:szCs w:val="20"/>
        </w:rPr>
      </w:pPr>
      <w:r w:rsidRPr="00586C47">
        <w:rPr>
          <w:rFonts w:cs="Times New Roman"/>
          <w:b/>
          <w:bCs/>
          <w:sz w:val="20"/>
          <w:szCs w:val="20"/>
        </w:rPr>
        <w:t>Ecology and Biodiversity</w:t>
      </w:r>
      <w:r w:rsidRPr="00586C47">
        <w:rPr>
          <w:rFonts w:cs="Times New Roman"/>
          <w:sz w:val="20"/>
          <w:szCs w:val="20"/>
        </w:rPr>
        <w:t>: A TGS focus area that promotes the enhancement of urban ecosystems and biodiversity.</w:t>
      </w:r>
    </w:p>
    <w:p w14:paraId="3C8C9265" w14:textId="26BBB3A6" w:rsidR="00052B3F" w:rsidRPr="00586C47" w:rsidRDefault="00052B3F" w:rsidP="00052B3F">
      <w:pPr>
        <w:jc w:val="both"/>
        <w:rPr>
          <w:rFonts w:cs="Times New Roman"/>
          <w:sz w:val="20"/>
          <w:szCs w:val="20"/>
        </w:rPr>
      </w:pPr>
      <w:r w:rsidRPr="00586C47">
        <w:rPr>
          <w:rFonts w:cs="Times New Roman"/>
          <w:b/>
          <w:bCs/>
          <w:sz w:val="20"/>
          <w:szCs w:val="20"/>
        </w:rPr>
        <w:t>Electric Vehicle (EV) Infrastructure</w:t>
      </w:r>
      <w:r w:rsidRPr="00586C47">
        <w:rPr>
          <w:rFonts w:cs="Times New Roman"/>
          <w:sz w:val="20"/>
          <w:szCs w:val="20"/>
        </w:rPr>
        <w:t>: Provisions in the TGS for electric vehicle charging capabilities in new developments.</w:t>
      </w:r>
    </w:p>
    <w:p w14:paraId="5ABA0E24" w14:textId="4898BDF1" w:rsidR="00052B3F" w:rsidRPr="00586C47" w:rsidRDefault="00052B3F" w:rsidP="00052B3F">
      <w:pPr>
        <w:jc w:val="both"/>
        <w:rPr>
          <w:rFonts w:cs="Times New Roman"/>
          <w:sz w:val="20"/>
          <w:szCs w:val="20"/>
        </w:rPr>
      </w:pPr>
      <w:r w:rsidRPr="00586C47">
        <w:rPr>
          <w:rFonts w:cs="Times New Roman"/>
          <w:b/>
          <w:bCs/>
          <w:sz w:val="20"/>
          <w:szCs w:val="20"/>
        </w:rPr>
        <w:t>Electrification</w:t>
      </w:r>
      <w:r w:rsidRPr="00586C47">
        <w:rPr>
          <w:rFonts w:cs="Times New Roman"/>
          <w:sz w:val="20"/>
          <w:szCs w:val="20"/>
        </w:rPr>
        <w:t>: The process of replacing technologies that use fossil fuels with technologies that use electricity as a source of energy, often emphasized in net zero carbon approaches.</w:t>
      </w:r>
    </w:p>
    <w:p w14:paraId="2F83D7A6" w14:textId="42FD59EE" w:rsidR="00052B3F" w:rsidRPr="00586C47" w:rsidRDefault="00052B3F" w:rsidP="00052B3F">
      <w:pPr>
        <w:jc w:val="both"/>
        <w:rPr>
          <w:rFonts w:cs="Times New Roman"/>
          <w:sz w:val="20"/>
          <w:szCs w:val="20"/>
        </w:rPr>
      </w:pPr>
      <w:r w:rsidRPr="00586C47">
        <w:rPr>
          <w:rFonts w:cs="Times New Roman"/>
          <w:b/>
          <w:bCs/>
          <w:sz w:val="20"/>
          <w:szCs w:val="20"/>
        </w:rPr>
        <w:t>Embodied Carbon Assessment:</w:t>
      </w:r>
      <w:r w:rsidRPr="00586C47">
        <w:rPr>
          <w:rFonts w:cs="Times New Roman"/>
          <w:sz w:val="20"/>
          <w:szCs w:val="20"/>
        </w:rPr>
        <w:t xml:space="preserve"> The process of calculating and evaluating the carbon emissions associated with building materials and construction processes over a building</w:t>
      </w:r>
      <w:r w:rsidR="00027B17">
        <w:rPr>
          <w:rFonts w:cs="Times New Roman"/>
          <w:sz w:val="20"/>
          <w:szCs w:val="20"/>
        </w:rPr>
        <w:t>’</w:t>
      </w:r>
      <w:r w:rsidRPr="00586C47">
        <w:rPr>
          <w:rFonts w:cs="Times New Roman"/>
          <w:sz w:val="20"/>
          <w:szCs w:val="20"/>
        </w:rPr>
        <w:t>s lifecycle.</w:t>
      </w:r>
    </w:p>
    <w:p w14:paraId="1D76CB91" w14:textId="0EE88753" w:rsidR="00052B3F" w:rsidRPr="00586C47" w:rsidRDefault="00052B3F" w:rsidP="00052B3F">
      <w:pPr>
        <w:jc w:val="both"/>
        <w:rPr>
          <w:rFonts w:cs="Times New Roman"/>
          <w:sz w:val="20"/>
          <w:szCs w:val="20"/>
        </w:rPr>
      </w:pPr>
      <w:r w:rsidRPr="00586C47">
        <w:rPr>
          <w:rFonts w:cs="Times New Roman"/>
          <w:b/>
          <w:bCs/>
          <w:sz w:val="20"/>
          <w:szCs w:val="20"/>
        </w:rPr>
        <w:t>Embodied Carbon</w:t>
      </w:r>
      <w:r w:rsidRPr="00586C47">
        <w:rPr>
          <w:rFonts w:cs="Times New Roman"/>
          <w:sz w:val="20"/>
          <w:szCs w:val="20"/>
        </w:rPr>
        <w:t>: The carbon emissions associated with materials and construction processes throughout the whole lifecycle of a building or infrastructure.</w:t>
      </w:r>
    </w:p>
    <w:p w14:paraId="5EFE77FA" w14:textId="32E82537" w:rsidR="00052B3F" w:rsidRPr="00586C47" w:rsidRDefault="00052B3F" w:rsidP="00052B3F">
      <w:pPr>
        <w:jc w:val="both"/>
        <w:rPr>
          <w:rFonts w:cs="Times New Roman"/>
          <w:sz w:val="20"/>
          <w:szCs w:val="20"/>
        </w:rPr>
      </w:pPr>
      <w:r w:rsidRPr="00586C47">
        <w:rPr>
          <w:rFonts w:cs="Times New Roman"/>
          <w:b/>
          <w:bCs/>
          <w:sz w:val="20"/>
          <w:szCs w:val="20"/>
        </w:rPr>
        <w:t>Energy and Atmosphere:</w:t>
      </w:r>
      <w:r w:rsidRPr="00586C47">
        <w:rPr>
          <w:rFonts w:cs="Times New Roman"/>
          <w:sz w:val="20"/>
          <w:szCs w:val="20"/>
        </w:rPr>
        <w:t xml:space="preserve"> A key category in LEED that focuses on energy efficiency, renewable energy usage, and refrigerant management.</w:t>
      </w:r>
    </w:p>
    <w:p w14:paraId="30C5A623" w14:textId="3C5D14B6" w:rsidR="00052B3F" w:rsidRPr="00586C47" w:rsidRDefault="00052B3F" w:rsidP="00052B3F">
      <w:pPr>
        <w:jc w:val="both"/>
        <w:rPr>
          <w:rFonts w:cs="Times New Roman"/>
          <w:sz w:val="20"/>
          <w:szCs w:val="20"/>
        </w:rPr>
      </w:pPr>
      <w:r w:rsidRPr="00586C47">
        <w:rPr>
          <w:rFonts w:cs="Times New Roman"/>
          <w:b/>
          <w:bCs/>
          <w:sz w:val="20"/>
          <w:szCs w:val="20"/>
        </w:rPr>
        <w:t>Energy Assessment:</w:t>
      </w:r>
      <w:r w:rsidRPr="00586C47">
        <w:rPr>
          <w:rFonts w:cs="Times New Roman"/>
          <w:sz w:val="20"/>
          <w:szCs w:val="20"/>
        </w:rPr>
        <w:t xml:space="preserve"> A key component of BOMA BEST, involving the evaluation of a building</w:t>
      </w:r>
      <w:r w:rsidR="00027B17">
        <w:rPr>
          <w:rFonts w:cs="Times New Roman"/>
          <w:sz w:val="20"/>
          <w:szCs w:val="20"/>
        </w:rPr>
        <w:t>’</w:t>
      </w:r>
      <w:r w:rsidRPr="00586C47">
        <w:rPr>
          <w:rFonts w:cs="Times New Roman"/>
          <w:sz w:val="20"/>
          <w:szCs w:val="20"/>
        </w:rPr>
        <w:t>s energy consumption and management practices.</w:t>
      </w:r>
    </w:p>
    <w:p w14:paraId="2F52FAA8" w14:textId="0508CE7A" w:rsidR="00052B3F" w:rsidRPr="00586C47" w:rsidRDefault="00052B3F" w:rsidP="00052B3F">
      <w:pPr>
        <w:jc w:val="both"/>
        <w:rPr>
          <w:rFonts w:cs="Times New Roman"/>
          <w:sz w:val="20"/>
          <w:szCs w:val="20"/>
        </w:rPr>
      </w:pPr>
      <w:r w:rsidRPr="00586C47">
        <w:rPr>
          <w:rFonts w:cs="Times New Roman"/>
          <w:b/>
          <w:bCs/>
          <w:sz w:val="20"/>
          <w:szCs w:val="20"/>
        </w:rPr>
        <w:lastRenderedPageBreak/>
        <w:t>Energy Efficiency:</w:t>
      </w:r>
      <w:r w:rsidRPr="00586C47">
        <w:rPr>
          <w:rFonts w:cs="Times New Roman"/>
          <w:sz w:val="20"/>
          <w:szCs w:val="20"/>
        </w:rPr>
        <w:t xml:space="preserve"> The practice of using less energy to perform the same task or produce the same result, often achieved through technological improvements or better management practices in buildings.</w:t>
      </w:r>
    </w:p>
    <w:p w14:paraId="0E302DF6" w14:textId="3DABDB4C" w:rsidR="00052B3F" w:rsidRPr="00586C47" w:rsidRDefault="00052B3F" w:rsidP="00052B3F">
      <w:pPr>
        <w:jc w:val="both"/>
        <w:rPr>
          <w:rFonts w:cs="Times New Roman"/>
          <w:sz w:val="20"/>
          <w:szCs w:val="20"/>
        </w:rPr>
      </w:pPr>
      <w:r w:rsidRPr="00586C47">
        <w:rPr>
          <w:rFonts w:cs="Times New Roman"/>
          <w:b/>
          <w:bCs/>
          <w:sz w:val="20"/>
          <w:szCs w:val="20"/>
        </w:rPr>
        <w:t>Energy Performance Contract:</w:t>
      </w:r>
      <w:r w:rsidRPr="00586C47">
        <w:rPr>
          <w:rFonts w:cs="Times New Roman"/>
          <w:sz w:val="20"/>
          <w:szCs w:val="20"/>
        </w:rPr>
        <w:t xml:space="preserve"> A financing mechanism that uses cost savings from reduced energy consumption to repay the cost of installing energy conservation measures.</w:t>
      </w:r>
    </w:p>
    <w:p w14:paraId="4B8B64EE" w14:textId="77777777" w:rsidR="00052B3F" w:rsidRPr="00586C47" w:rsidRDefault="00052B3F" w:rsidP="00052B3F">
      <w:pPr>
        <w:jc w:val="both"/>
        <w:rPr>
          <w:rFonts w:cs="Times New Roman"/>
          <w:sz w:val="20"/>
          <w:szCs w:val="20"/>
        </w:rPr>
      </w:pPr>
      <w:r w:rsidRPr="00586C47">
        <w:rPr>
          <w:rFonts w:cs="Times New Roman"/>
          <w:b/>
          <w:bCs/>
          <w:sz w:val="20"/>
          <w:szCs w:val="20"/>
        </w:rPr>
        <w:t>Environmental Product Declarations (EPDs):</w:t>
      </w:r>
      <w:r w:rsidRPr="00586C47">
        <w:rPr>
          <w:rFonts w:cs="Times New Roman"/>
          <w:sz w:val="20"/>
          <w:szCs w:val="20"/>
        </w:rPr>
        <w:t xml:space="preserve"> Standardized documents that provide information about the environmental impact of products, used in LEED v4.1 to address embodied carbon.</w:t>
      </w:r>
    </w:p>
    <w:p w14:paraId="582E1696" w14:textId="52CE331B" w:rsidR="00052B3F" w:rsidRPr="00586C47" w:rsidRDefault="00052B3F" w:rsidP="00052B3F">
      <w:pPr>
        <w:jc w:val="both"/>
        <w:rPr>
          <w:rFonts w:cs="Times New Roman"/>
          <w:sz w:val="20"/>
          <w:szCs w:val="20"/>
        </w:rPr>
      </w:pPr>
      <w:r w:rsidRPr="00586C47">
        <w:rPr>
          <w:rFonts w:cs="Times New Roman"/>
          <w:b/>
          <w:bCs/>
          <w:sz w:val="20"/>
          <w:szCs w:val="20"/>
        </w:rPr>
        <w:t>Environmental Stewardship</w:t>
      </w:r>
      <w:r w:rsidRPr="00586C47">
        <w:rPr>
          <w:rFonts w:cs="Times New Roman"/>
          <w:sz w:val="20"/>
          <w:szCs w:val="20"/>
        </w:rPr>
        <w:t>: The responsible use and protection of the natural environment through conservation efforts, sustainable practices, and the consideration of ecological impacts in decision-making processes.</w:t>
      </w:r>
    </w:p>
    <w:p w14:paraId="65FBE8B3" w14:textId="5A1B2128" w:rsidR="00052B3F" w:rsidRPr="00586C47" w:rsidRDefault="00052B3F" w:rsidP="00052B3F">
      <w:pPr>
        <w:jc w:val="both"/>
        <w:rPr>
          <w:rFonts w:cs="Times New Roman"/>
          <w:sz w:val="20"/>
          <w:szCs w:val="20"/>
        </w:rPr>
      </w:pPr>
      <w:r w:rsidRPr="00586C47">
        <w:rPr>
          <w:rFonts w:cs="Times New Roman"/>
          <w:b/>
          <w:bCs/>
          <w:sz w:val="20"/>
          <w:szCs w:val="20"/>
        </w:rPr>
        <w:t>Environmental, Social, and Governance (ESG):</w:t>
      </w:r>
      <w:r w:rsidRPr="00586C47">
        <w:rPr>
          <w:rFonts w:cs="Times New Roman"/>
          <w:sz w:val="20"/>
          <w:szCs w:val="20"/>
        </w:rPr>
        <w:t xml:space="preserve"> A set of standards for a company</w:t>
      </w:r>
      <w:r w:rsidR="00027B17">
        <w:rPr>
          <w:rFonts w:cs="Times New Roman"/>
          <w:sz w:val="20"/>
          <w:szCs w:val="20"/>
        </w:rPr>
        <w:t>’</w:t>
      </w:r>
      <w:r w:rsidRPr="00586C47">
        <w:rPr>
          <w:rFonts w:cs="Times New Roman"/>
          <w:sz w:val="20"/>
          <w:szCs w:val="20"/>
        </w:rPr>
        <w:t>s or institution</w:t>
      </w:r>
      <w:r w:rsidR="00027B17">
        <w:rPr>
          <w:rFonts w:cs="Times New Roman"/>
          <w:sz w:val="20"/>
          <w:szCs w:val="20"/>
        </w:rPr>
        <w:t>’</w:t>
      </w:r>
      <w:r w:rsidRPr="00586C47">
        <w:rPr>
          <w:rFonts w:cs="Times New Roman"/>
          <w:sz w:val="20"/>
          <w:szCs w:val="20"/>
        </w:rPr>
        <w:t>s operations that socially conscious stakeholders use to screen potential investments or partnerships.</w:t>
      </w:r>
    </w:p>
    <w:p w14:paraId="02952A4A" w14:textId="10FB27E9" w:rsidR="00052B3F" w:rsidRPr="00586C47" w:rsidRDefault="00052B3F" w:rsidP="00052B3F">
      <w:pPr>
        <w:jc w:val="both"/>
        <w:rPr>
          <w:rFonts w:cs="Times New Roman"/>
          <w:sz w:val="20"/>
          <w:szCs w:val="20"/>
        </w:rPr>
      </w:pPr>
      <w:r w:rsidRPr="00586C47">
        <w:rPr>
          <w:rFonts w:cs="Times New Roman"/>
          <w:b/>
          <w:bCs/>
          <w:sz w:val="20"/>
          <w:szCs w:val="20"/>
        </w:rPr>
        <w:t xml:space="preserve">Fault Detection and Diagnostics: </w:t>
      </w:r>
      <w:r w:rsidRPr="00586C47">
        <w:rPr>
          <w:rFonts w:cs="Times New Roman"/>
          <w:sz w:val="20"/>
          <w:szCs w:val="20"/>
        </w:rPr>
        <w:t>Advanced building control systems that use data analytics to identify and diagnose operational issues in building systems.</w:t>
      </w:r>
    </w:p>
    <w:p w14:paraId="75F24D14" w14:textId="222C1501" w:rsidR="00052B3F" w:rsidRPr="00586C47" w:rsidRDefault="00052B3F" w:rsidP="00052B3F">
      <w:pPr>
        <w:jc w:val="both"/>
        <w:rPr>
          <w:rFonts w:cs="Times New Roman"/>
          <w:sz w:val="20"/>
          <w:szCs w:val="20"/>
        </w:rPr>
      </w:pPr>
      <w:r w:rsidRPr="00586C47">
        <w:rPr>
          <w:rFonts w:cs="Times New Roman"/>
          <w:b/>
          <w:bCs/>
          <w:sz w:val="20"/>
          <w:szCs w:val="20"/>
        </w:rPr>
        <w:t>Geo-exchange System:</w:t>
      </w:r>
      <w:r w:rsidRPr="00586C47">
        <w:rPr>
          <w:rFonts w:cs="Times New Roman"/>
          <w:sz w:val="20"/>
          <w:szCs w:val="20"/>
        </w:rPr>
        <w:t xml:space="preserve"> A renewable energy technology that uses the earth</w:t>
      </w:r>
      <w:r w:rsidR="00027B17">
        <w:rPr>
          <w:rFonts w:cs="Times New Roman"/>
          <w:sz w:val="20"/>
          <w:szCs w:val="20"/>
        </w:rPr>
        <w:t>’</w:t>
      </w:r>
      <w:r w:rsidRPr="00586C47">
        <w:rPr>
          <w:rFonts w:cs="Times New Roman"/>
          <w:sz w:val="20"/>
          <w:szCs w:val="20"/>
        </w:rPr>
        <w:t>s constant temperature for heating and cooling buildings, often implemented in campus-wide energy systems.</w:t>
      </w:r>
    </w:p>
    <w:p w14:paraId="40028F60" w14:textId="3DA3E479" w:rsidR="00052B3F" w:rsidRPr="00586C47" w:rsidRDefault="00052B3F" w:rsidP="00052B3F">
      <w:pPr>
        <w:jc w:val="both"/>
        <w:rPr>
          <w:rFonts w:cs="Times New Roman"/>
          <w:sz w:val="20"/>
          <w:szCs w:val="20"/>
        </w:rPr>
      </w:pPr>
      <w:r w:rsidRPr="00586C47">
        <w:rPr>
          <w:rFonts w:cs="Times New Roman"/>
          <w:b/>
          <w:bCs/>
          <w:sz w:val="20"/>
          <w:szCs w:val="20"/>
        </w:rPr>
        <w:t>Green Building Standards:</w:t>
      </w:r>
      <w:r w:rsidRPr="00586C47">
        <w:rPr>
          <w:rFonts w:cs="Times New Roman"/>
          <w:sz w:val="20"/>
          <w:szCs w:val="20"/>
        </w:rPr>
        <w:t xml:space="preserve"> Frameworks and guidelines that establish criteria for sustainable building design, construction, and operation, such as LEED, BREEAM, and Green Globes.</w:t>
      </w:r>
    </w:p>
    <w:p w14:paraId="536269FB" w14:textId="21CFD826" w:rsidR="00052B3F" w:rsidRPr="00586C47" w:rsidRDefault="00052B3F" w:rsidP="00052B3F">
      <w:pPr>
        <w:jc w:val="both"/>
        <w:rPr>
          <w:rFonts w:cs="Times New Roman"/>
          <w:sz w:val="20"/>
          <w:szCs w:val="20"/>
        </w:rPr>
      </w:pPr>
      <w:r w:rsidRPr="00586C47">
        <w:rPr>
          <w:rFonts w:cs="Times New Roman"/>
          <w:b/>
          <w:bCs/>
          <w:sz w:val="20"/>
          <w:szCs w:val="20"/>
        </w:rPr>
        <w:t>Green Building Strategy:</w:t>
      </w:r>
      <w:r w:rsidRPr="00586C47">
        <w:rPr>
          <w:rFonts w:cs="Times New Roman"/>
          <w:sz w:val="20"/>
          <w:szCs w:val="20"/>
        </w:rPr>
        <w:t xml:space="preserve"> A comprehensive plan that integrates sustainable design, construction, and operational practices to minimize the environmental impact of buildings while optimizing resource efficiency and occupant well-being.</w:t>
      </w:r>
    </w:p>
    <w:p w14:paraId="745CFB3E" w14:textId="78E5C552" w:rsidR="00052B3F" w:rsidRPr="00586C47" w:rsidRDefault="00052B3F" w:rsidP="00052B3F">
      <w:pPr>
        <w:jc w:val="both"/>
        <w:rPr>
          <w:rFonts w:cs="Times New Roman"/>
          <w:sz w:val="20"/>
          <w:szCs w:val="20"/>
        </w:rPr>
      </w:pPr>
      <w:r w:rsidRPr="00586C47">
        <w:rPr>
          <w:rFonts w:cs="Times New Roman"/>
          <w:b/>
          <w:bCs/>
          <w:sz w:val="20"/>
          <w:szCs w:val="20"/>
        </w:rPr>
        <w:t>Green Infrastructure:</w:t>
      </w:r>
      <w:r w:rsidRPr="00586C47">
        <w:rPr>
          <w:rFonts w:cs="Times New Roman"/>
          <w:sz w:val="20"/>
          <w:szCs w:val="20"/>
        </w:rPr>
        <w:t xml:space="preserve"> Natural and engineered ecological systems that provide environmental services in built environments, such as stormwater management and urban heat island mitigation.</w:t>
      </w:r>
    </w:p>
    <w:p w14:paraId="00813BF5" w14:textId="77777777" w:rsidR="00052B3F" w:rsidRPr="00586C47" w:rsidRDefault="00052B3F" w:rsidP="00052B3F">
      <w:pPr>
        <w:jc w:val="both"/>
        <w:rPr>
          <w:rFonts w:cs="Times New Roman"/>
          <w:sz w:val="20"/>
          <w:szCs w:val="20"/>
        </w:rPr>
      </w:pPr>
      <w:r w:rsidRPr="00586C47">
        <w:rPr>
          <w:rFonts w:cs="Times New Roman"/>
          <w:b/>
          <w:bCs/>
          <w:sz w:val="20"/>
          <w:szCs w:val="20"/>
        </w:rPr>
        <w:t>Green Revolving Fund:</w:t>
      </w:r>
      <w:r w:rsidRPr="00586C47">
        <w:rPr>
          <w:rFonts w:cs="Times New Roman"/>
          <w:sz w:val="20"/>
          <w:szCs w:val="20"/>
        </w:rPr>
        <w:t xml:space="preserve"> A self-replenishing pool of money that funds energy efficiency improvements, with the cost savings from these projects replenishing the fund for future investments.</w:t>
      </w:r>
    </w:p>
    <w:p w14:paraId="3F8CFC3C" w14:textId="66E58554" w:rsidR="00052B3F" w:rsidRPr="00586C47" w:rsidRDefault="00052B3F" w:rsidP="00052B3F">
      <w:pPr>
        <w:jc w:val="both"/>
        <w:rPr>
          <w:rFonts w:cs="Times New Roman"/>
          <w:sz w:val="20"/>
          <w:szCs w:val="20"/>
        </w:rPr>
      </w:pPr>
      <w:r w:rsidRPr="00586C47">
        <w:rPr>
          <w:rFonts w:cs="Times New Roman"/>
          <w:b/>
          <w:bCs/>
          <w:sz w:val="20"/>
          <w:szCs w:val="20"/>
        </w:rPr>
        <w:t>Green Roof:</w:t>
      </w:r>
      <w:r w:rsidRPr="00586C47">
        <w:rPr>
          <w:rFonts w:cs="Times New Roman"/>
          <w:sz w:val="20"/>
          <w:szCs w:val="20"/>
        </w:rPr>
        <w:t xml:space="preserve"> A building roof partially or completely covered with vegetation and a growing medium, promoted by the TGS and Toronto</w:t>
      </w:r>
      <w:r w:rsidR="00027B17">
        <w:rPr>
          <w:rFonts w:cs="Times New Roman"/>
          <w:sz w:val="20"/>
          <w:szCs w:val="20"/>
        </w:rPr>
        <w:t>’</w:t>
      </w:r>
      <w:r w:rsidRPr="00586C47">
        <w:rPr>
          <w:rFonts w:cs="Times New Roman"/>
          <w:sz w:val="20"/>
          <w:szCs w:val="20"/>
        </w:rPr>
        <w:t>s Green Roof Bylaw.</w:t>
      </w:r>
    </w:p>
    <w:p w14:paraId="2FE753F3" w14:textId="36C27F2A" w:rsidR="00052B3F" w:rsidRPr="00586C47" w:rsidRDefault="00052B3F" w:rsidP="00052B3F">
      <w:pPr>
        <w:jc w:val="both"/>
        <w:rPr>
          <w:rFonts w:cs="Times New Roman"/>
          <w:sz w:val="20"/>
          <w:szCs w:val="20"/>
        </w:rPr>
      </w:pPr>
      <w:r w:rsidRPr="00586C47">
        <w:rPr>
          <w:rFonts w:cs="Times New Roman"/>
          <w:b/>
          <w:bCs/>
          <w:sz w:val="20"/>
          <w:szCs w:val="20"/>
        </w:rPr>
        <w:t>Greenhouse Gas (GHG) Emissions:</w:t>
      </w:r>
      <w:r w:rsidRPr="00586C47">
        <w:rPr>
          <w:rFonts w:cs="Times New Roman"/>
          <w:sz w:val="20"/>
          <w:szCs w:val="20"/>
        </w:rPr>
        <w:t xml:space="preserve"> Gases that trap heat in the Earth</w:t>
      </w:r>
      <w:r w:rsidR="00027B17">
        <w:rPr>
          <w:rFonts w:cs="Times New Roman"/>
          <w:sz w:val="20"/>
          <w:szCs w:val="20"/>
        </w:rPr>
        <w:t>’</w:t>
      </w:r>
      <w:r w:rsidRPr="00586C47">
        <w:rPr>
          <w:rFonts w:cs="Times New Roman"/>
          <w:sz w:val="20"/>
          <w:szCs w:val="20"/>
        </w:rPr>
        <w:t>s atmosphere, primarily carbon dioxide, methane, and nitrous oxide, which are released through human activities such as burning fossil fuels and land-use changes.</w:t>
      </w:r>
    </w:p>
    <w:p w14:paraId="1A6138D4" w14:textId="2F1D333D" w:rsidR="00052B3F" w:rsidRPr="00586C47" w:rsidRDefault="00052B3F" w:rsidP="00052B3F">
      <w:pPr>
        <w:jc w:val="both"/>
        <w:rPr>
          <w:rFonts w:cs="Times New Roman"/>
          <w:sz w:val="20"/>
          <w:szCs w:val="20"/>
        </w:rPr>
      </w:pPr>
      <w:r w:rsidRPr="00586C47">
        <w:rPr>
          <w:rFonts w:cs="Times New Roman"/>
          <w:b/>
          <w:bCs/>
          <w:sz w:val="20"/>
          <w:szCs w:val="20"/>
        </w:rPr>
        <w:t>Greenhouse Gas Intensity (GHGI):</w:t>
      </w:r>
      <w:r w:rsidRPr="00586C47">
        <w:rPr>
          <w:rFonts w:cs="Times New Roman"/>
          <w:sz w:val="20"/>
          <w:szCs w:val="20"/>
        </w:rPr>
        <w:t xml:space="preserve"> A metric used in the TGS to measure the carbon emissions of a building, expressed in kg CO2e/m²/year.</w:t>
      </w:r>
    </w:p>
    <w:p w14:paraId="5A3CD281" w14:textId="1FE799A9" w:rsidR="00052B3F" w:rsidRPr="00586C47" w:rsidRDefault="00052B3F" w:rsidP="00052B3F">
      <w:pPr>
        <w:jc w:val="both"/>
        <w:rPr>
          <w:rFonts w:cs="Times New Roman"/>
          <w:sz w:val="20"/>
          <w:szCs w:val="20"/>
        </w:rPr>
      </w:pPr>
      <w:r w:rsidRPr="00586C47">
        <w:rPr>
          <w:rFonts w:cs="Times New Roman"/>
          <w:b/>
          <w:bCs/>
          <w:sz w:val="20"/>
          <w:szCs w:val="20"/>
        </w:rPr>
        <w:t>Grid Flexibility:</w:t>
      </w:r>
      <w:r w:rsidRPr="00586C47">
        <w:rPr>
          <w:rFonts w:cs="Times New Roman"/>
          <w:sz w:val="20"/>
          <w:szCs w:val="20"/>
        </w:rPr>
        <w:t xml:space="preserve"> The ability of a building</w:t>
      </w:r>
      <w:r w:rsidR="00027B17">
        <w:rPr>
          <w:rFonts w:cs="Times New Roman"/>
          <w:sz w:val="20"/>
          <w:szCs w:val="20"/>
        </w:rPr>
        <w:t>’</w:t>
      </w:r>
      <w:r w:rsidRPr="00586C47">
        <w:rPr>
          <w:rFonts w:cs="Times New Roman"/>
          <w:sz w:val="20"/>
          <w:szCs w:val="20"/>
        </w:rPr>
        <w:t>s energy systems to respond to changes in grid demand, supporting the integration of renewable energy sources.</w:t>
      </w:r>
    </w:p>
    <w:p w14:paraId="2AFBC8A0" w14:textId="4FDFA9AE" w:rsidR="00052B3F" w:rsidRPr="00586C47" w:rsidRDefault="00052B3F" w:rsidP="00052B3F">
      <w:pPr>
        <w:jc w:val="both"/>
        <w:rPr>
          <w:rFonts w:cs="Times New Roman"/>
          <w:sz w:val="20"/>
          <w:szCs w:val="20"/>
        </w:rPr>
      </w:pPr>
      <w:r w:rsidRPr="00586C47">
        <w:rPr>
          <w:rFonts w:cs="Times New Roman"/>
          <w:b/>
          <w:bCs/>
          <w:sz w:val="20"/>
          <w:szCs w:val="20"/>
        </w:rPr>
        <w:lastRenderedPageBreak/>
        <w:t>High-Albedo Roofing Materials</w:t>
      </w:r>
      <w:r w:rsidRPr="00586C47">
        <w:rPr>
          <w:rFonts w:cs="Times New Roman"/>
          <w:sz w:val="20"/>
          <w:szCs w:val="20"/>
        </w:rPr>
        <w:t>: Roofing materials with high solar reflectance, which helps reduce heat absorption and mitigate the urban heat island effect.</w:t>
      </w:r>
    </w:p>
    <w:p w14:paraId="46FABE66" w14:textId="3D67BD8D" w:rsidR="00052B3F" w:rsidRPr="00586C47" w:rsidRDefault="00052B3F" w:rsidP="00052B3F">
      <w:pPr>
        <w:jc w:val="both"/>
        <w:rPr>
          <w:rFonts w:cs="Times New Roman"/>
          <w:sz w:val="20"/>
          <w:szCs w:val="20"/>
        </w:rPr>
      </w:pPr>
      <w:r w:rsidRPr="00586C47">
        <w:rPr>
          <w:rFonts w:cs="Times New Roman"/>
          <w:b/>
          <w:bCs/>
          <w:sz w:val="20"/>
          <w:szCs w:val="20"/>
        </w:rPr>
        <w:t>Indoor Air Quality (IAQ):</w:t>
      </w:r>
      <w:r w:rsidRPr="00586C47">
        <w:rPr>
          <w:rFonts w:cs="Times New Roman"/>
          <w:sz w:val="20"/>
          <w:szCs w:val="20"/>
        </w:rPr>
        <w:t xml:space="preserve"> The air quality within and around buildings and structures, especially as it relates to the health and comfort of building occupants.</w:t>
      </w:r>
    </w:p>
    <w:p w14:paraId="7B7495FE" w14:textId="42AB36F2" w:rsidR="00052B3F" w:rsidRPr="00586C47" w:rsidRDefault="00052B3F" w:rsidP="00052B3F">
      <w:pPr>
        <w:jc w:val="both"/>
        <w:rPr>
          <w:rFonts w:cs="Times New Roman"/>
          <w:sz w:val="20"/>
          <w:szCs w:val="20"/>
        </w:rPr>
      </w:pPr>
      <w:r w:rsidRPr="00586C47">
        <w:rPr>
          <w:rFonts w:cs="Times New Roman"/>
          <w:b/>
          <w:bCs/>
          <w:sz w:val="20"/>
          <w:szCs w:val="20"/>
        </w:rPr>
        <w:t>Indoor Environmental Quality (IEQ):</w:t>
      </w:r>
      <w:r w:rsidRPr="00586C47">
        <w:rPr>
          <w:rFonts w:cs="Times New Roman"/>
          <w:sz w:val="20"/>
          <w:szCs w:val="20"/>
        </w:rPr>
        <w:t xml:space="preserve"> A comprehensive term encompassing air quality, thermal comfort, lighting, and acoustics within buildings, addressed to varying degrees in different green building standards.</w:t>
      </w:r>
    </w:p>
    <w:p w14:paraId="27CB947B" w14:textId="0FDCE0F6" w:rsidR="00052B3F" w:rsidRPr="00586C47" w:rsidRDefault="00052B3F" w:rsidP="00052B3F">
      <w:pPr>
        <w:jc w:val="both"/>
        <w:rPr>
          <w:rFonts w:cs="Times New Roman"/>
          <w:sz w:val="20"/>
          <w:szCs w:val="20"/>
        </w:rPr>
      </w:pPr>
      <w:r w:rsidRPr="00586C47">
        <w:rPr>
          <w:rFonts w:cs="Times New Roman"/>
          <w:b/>
          <w:bCs/>
          <w:sz w:val="20"/>
          <w:szCs w:val="20"/>
        </w:rPr>
        <w:t>Integrated Design Process:</w:t>
      </w:r>
      <w:r w:rsidRPr="00586C47">
        <w:rPr>
          <w:rFonts w:cs="Times New Roman"/>
          <w:sz w:val="20"/>
          <w:szCs w:val="20"/>
        </w:rPr>
        <w:t xml:space="preserve"> A collaborative method for designing buildings which brings together diverse stakeholders and design professionals from the earliest stages of a project.</w:t>
      </w:r>
    </w:p>
    <w:p w14:paraId="1EC53DB4" w14:textId="50EFFAAB" w:rsidR="00052B3F" w:rsidRPr="00586C47" w:rsidRDefault="00052B3F" w:rsidP="00052B3F">
      <w:pPr>
        <w:jc w:val="both"/>
        <w:rPr>
          <w:rFonts w:cs="Times New Roman"/>
          <w:sz w:val="20"/>
          <w:szCs w:val="20"/>
        </w:rPr>
      </w:pPr>
      <w:r w:rsidRPr="00586C47">
        <w:rPr>
          <w:rFonts w:cs="Times New Roman"/>
          <w:b/>
          <w:bCs/>
          <w:sz w:val="20"/>
          <w:szCs w:val="20"/>
        </w:rPr>
        <w:t>Integrated Energy Master Plan:</w:t>
      </w:r>
      <w:r w:rsidRPr="00586C47">
        <w:rPr>
          <w:rFonts w:cs="Times New Roman"/>
          <w:sz w:val="20"/>
          <w:szCs w:val="20"/>
        </w:rPr>
        <w:t xml:space="preserve"> A comprehensive, long-term strategy for managing energy use and production across an institution</w:t>
      </w:r>
      <w:r w:rsidR="00027B17">
        <w:rPr>
          <w:rFonts w:cs="Times New Roman"/>
          <w:sz w:val="20"/>
          <w:szCs w:val="20"/>
        </w:rPr>
        <w:t>’</w:t>
      </w:r>
      <w:r w:rsidRPr="00586C47">
        <w:rPr>
          <w:rFonts w:cs="Times New Roman"/>
          <w:sz w:val="20"/>
          <w:szCs w:val="20"/>
        </w:rPr>
        <w:t>s facilities.</w:t>
      </w:r>
    </w:p>
    <w:p w14:paraId="195AF8BA" w14:textId="6DB43BCD" w:rsidR="00052B3F" w:rsidRPr="00586C47" w:rsidRDefault="00052B3F" w:rsidP="00052B3F">
      <w:pPr>
        <w:jc w:val="both"/>
        <w:rPr>
          <w:rFonts w:cs="Times New Roman"/>
          <w:sz w:val="20"/>
          <w:szCs w:val="20"/>
        </w:rPr>
      </w:pPr>
      <w:r w:rsidRPr="00586C47">
        <w:rPr>
          <w:rFonts w:cs="Times New Roman"/>
          <w:b/>
          <w:bCs/>
          <w:sz w:val="20"/>
          <w:szCs w:val="20"/>
        </w:rPr>
        <w:t>Islanding Capability:</w:t>
      </w:r>
      <w:r w:rsidRPr="00586C47">
        <w:rPr>
          <w:rFonts w:cs="Times New Roman"/>
          <w:sz w:val="20"/>
          <w:szCs w:val="20"/>
        </w:rPr>
        <w:t xml:space="preserve"> The ability of a building</w:t>
      </w:r>
      <w:r w:rsidR="00027B17">
        <w:rPr>
          <w:rFonts w:cs="Times New Roman"/>
          <w:sz w:val="20"/>
          <w:szCs w:val="20"/>
        </w:rPr>
        <w:t>’</w:t>
      </w:r>
      <w:r w:rsidRPr="00586C47">
        <w:rPr>
          <w:rFonts w:cs="Times New Roman"/>
          <w:sz w:val="20"/>
          <w:szCs w:val="20"/>
        </w:rPr>
        <w:t>s energy systems to continue functioning independently when disconnected from the main power grid.</w:t>
      </w:r>
    </w:p>
    <w:p w14:paraId="19C38A48" w14:textId="442FA9D7" w:rsidR="00052B3F" w:rsidRPr="00586C47" w:rsidRDefault="00052B3F" w:rsidP="00052B3F">
      <w:pPr>
        <w:jc w:val="both"/>
        <w:rPr>
          <w:rFonts w:cs="Times New Roman"/>
          <w:sz w:val="20"/>
          <w:szCs w:val="20"/>
        </w:rPr>
      </w:pPr>
      <w:r w:rsidRPr="00586C47">
        <w:rPr>
          <w:rFonts w:cs="Times New Roman"/>
          <w:b/>
          <w:bCs/>
          <w:sz w:val="20"/>
          <w:szCs w:val="20"/>
        </w:rPr>
        <w:t>Leadership in Energy and Environmental Design (LEED):</w:t>
      </w:r>
      <w:r w:rsidRPr="00586C47">
        <w:rPr>
          <w:rFonts w:cs="Times New Roman"/>
          <w:sz w:val="20"/>
          <w:szCs w:val="20"/>
        </w:rPr>
        <w:t xml:space="preserve"> A widely used green building certification program developed by the U.S. Green Building Council, which provides a framework for healthy, efficient, and cost-saving green buildings.</w:t>
      </w:r>
    </w:p>
    <w:p w14:paraId="7F03603B" w14:textId="3A861064" w:rsidR="00052B3F" w:rsidRPr="00586C47" w:rsidRDefault="00052B3F" w:rsidP="00052B3F">
      <w:pPr>
        <w:jc w:val="both"/>
        <w:rPr>
          <w:rFonts w:cs="Times New Roman"/>
          <w:sz w:val="20"/>
          <w:szCs w:val="20"/>
        </w:rPr>
      </w:pPr>
      <w:r w:rsidRPr="00586C47">
        <w:rPr>
          <w:rFonts w:cs="Times New Roman"/>
          <w:b/>
          <w:bCs/>
          <w:sz w:val="20"/>
          <w:szCs w:val="20"/>
        </w:rPr>
        <w:t>LEED Certification Levels:</w:t>
      </w:r>
      <w:r w:rsidRPr="00586C47">
        <w:rPr>
          <w:rFonts w:cs="Times New Roman"/>
          <w:sz w:val="20"/>
          <w:szCs w:val="20"/>
        </w:rPr>
        <w:t xml:space="preserve"> The tiered rating system used in LEED, including Certified, Silver, Gold, and Platinum, based on the number of points achieved.</w:t>
      </w:r>
    </w:p>
    <w:p w14:paraId="0961E47F" w14:textId="2D8113FF" w:rsidR="00052B3F" w:rsidRPr="00586C47" w:rsidRDefault="00052B3F" w:rsidP="00052B3F">
      <w:pPr>
        <w:jc w:val="both"/>
        <w:rPr>
          <w:rFonts w:cs="Times New Roman"/>
          <w:sz w:val="20"/>
          <w:szCs w:val="20"/>
        </w:rPr>
      </w:pPr>
      <w:r w:rsidRPr="00586C47">
        <w:rPr>
          <w:rFonts w:cs="Times New Roman"/>
          <w:b/>
          <w:bCs/>
          <w:sz w:val="20"/>
          <w:szCs w:val="20"/>
        </w:rPr>
        <w:t>Life Cycle Assessment (LCA):</w:t>
      </w:r>
      <w:r w:rsidRPr="00586C47">
        <w:rPr>
          <w:rFonts w:cs="Times New Roman"/>
          <w:sz w:val="20"/>
          <w:szCs w:val="20"/>
        </w:rPr>
        <w:t xml:space="preserve"> A methodology for assessing the environmental impacts associated with all stages of a product</w:t>
      </w:r>
      <w:r w:rsidR="00027B17">
        <w:rPr>
          <w:rFonts w:cs="Times New Roman"/>
          <w:sz w:val="20"/>
          <w:szCs w:val="20"/>
        </w:rPr>
        <w:t>’</w:t>
      </w:r>
      <w:r w:rsidRPr="00586C47">
        <w:rPr>
          <w:rFonts w:cs="Times New Roman"/>
          <w:sz w:val="20"/>
          <w:szCs w:val="20"/>
        </w:rPr>
        <w:t>s life, from raw material extraction through materials processing, manufacture, distribution, use, repair and maintenance, and disposal or recycling.</w:t>
      </w:r>
    </w:p>
    <w:p w14:paraId="6C8E9555" w14:textId="23E1939D" w:rsidR="00052B3F" w:rsidRPr="00586C47" w:rsidRDefault="00052B3F" w:rsidP="00052B3F">
      <w:pPr>
        <w:jc w:val="both"/>
        <w:rPr>
          <w:rFonts w:cs="Times New Roman"/>
          <w:sz w:val="20"/>
          <w:szCs w:val="20"/>
        </w:rPr>
      </w:pPr>
      <w:r w:rsidRPr="00586C47">
        <w:rPr>
          <w:rFonts w:cs="Times New Roman"/>
          <w:b/>
          <w:bCs/>
          <w:sz w:val="20"/>
          <w:szCs w:val="20"/>
        </w:rPr>
        <w:t>Life Cycle Cost Analysis:</w:t>
      </w:r>
      <w:r w:rsidRPr="00586C47">
        <w:rPr>
          <w:rFonts w:cs="Times New Roman"/>
          <w:sz w:val="20"/>
          <w:szCs w:val="20"/>
        </w:rPr>
        <w:t xml:space="preserve"> A method for assessing the total cost of facility ownership, taking into account all costs of acquiring, owning, and disposing of a building or building system</w:t>
      </w:r>
    </w:p>
    <w:p w14:paraId="6CFEE4E4" w14:textId="655897FC" w:rsidR="00052B3F" w:rsidRPr="00586C47" w:rsidRDefault="00052B3F" w:rsidP="00052B3F">
      <w:pPr>
        <w:jc w:val="both"/>
        <w:rPr>
          <w:rFonts w:cs="Times New Roman"/>
          <w:sz w:val="20"/>
          <w:szCs w:val="20"/>
        </w:rPr>
      </w:pPr>
      <w:r w:rsidRPr="00586C47">
        <w:rPr>
          <w:rFonts w:cs="Times New Roman"/>
          <w:b/>
          <w:bCs/>
          <w:sz w:val="20"/>
          <w:szCs w:val="20"/>
        </w:rPr>
        <w:t>Living Laboratory:</w:t>
      </w:r>
      <w:r w:rsidRPr="00586C47">
        <w:rPr>
          <w:rFonts w:cs="Times New Roman"/>
          <w:sz w:val="20"/>
          <w:szCs w:val="20"/>
        </w:rPr>
        <w:t xml:space="preserve"> An approach where university campuses serve as test beds for sustainability innovations, integrating research, teaching, and operational practices.</w:t>
      </w:r>
    </w:p>
    <w:p w14:paraId="5AB14019" w14:textId="5A4006FA" w:rsidR="00052B3F" w:rsidRPr="00586C47" w:rsidRDefault="00052B3F" w:rsidP="00052B3F">
      <w:pPr>
        <w:jc w:val="both"/>
        <w:rPr>
          <w:rFonts w:cs="Times New Roman"/>
          <w:sz w:val="20"/>
          <w:szCs w:val="20"/>
        </w:rPr>
      </w:pPr>
      <w:r w:rsidRPr="00586C47">
        <w:rPr>
          <w:rFonts w:cs="Times New Roman"/>
          <w:b/>
          <w:bCs/>
          <w:sz w:val="20"/>
          <w:szCs w:val="20"/>
        </w:rPr>
        <w:t>Local Context Integration:</w:t>
      </w:r>
      <w:r w:rsidRPr="00586C47">
        <w:rPr>
          <w:rFonts w:cs="Times New Roman"/>
          <w:sz w:val="20"/>
          <w:szCs w:val="20"/>
        </w:rPr>
        <w:t xml:space="preserve"> The extent to which a green building standard considers and adapts to specific geographical, climatic, and regulatory conditions of its application area.</w:t>
      </w:r>
    </w:p>
    <w:p w14:paraId="5CF4D972" w14:textId="77777777" w:rsidR="00052B3F" w:rsidRPr="00586C47" w:rsidRDefault="00052B3F" w:rsidP="00052B3F">
      <w:pPr>
        <w:jc w:val="both"/>
        <w:rPr>
          <w:rFonts w:cs="Times New Roman"/>
          <w:sz w:val="20"/>
          <w:szCs w:val="20"/>
        </w:rPr>
      </w:pPr>
      <w:r w:rsidRPr="00586C47">
        <w:rPr>
          <w:rFonts w:cs="Times New Roman"/>
          <w:b/>
          <w:bCs/>
          <w:sz w:val="20"/>
          <w:szCs w:val="20"/>
        </w:rPr>
        <w:t>Low-Exergy Systems:</w:t>
      </w:r>
      <w:r w:rsidRPr="00586C47">
        <w:rPr>
          <w:rFonts w:cs="Times New Roman"/>
          <w:sz w:val="20"/>
          <w:szCs w:val="20"/>
        </w:rPr>
        <w:t xml:space="preserve"> Building systems designed to use low-quality energy sources efficiently, such as low-temperature heating and high-temperature cooling systems.</w:t>
      </w:r>
    </w:p>
    <w:p w14:paraId="620809A1" w14:textId="14F01AC7" w:rsidR="00052B3F" w:rsidRPr="00586C47" w:rsidRDefault="00052B3F" w:rsidP="00052B3F">
      <w:pPr>
        <w:jc w:val="both"/>
        <w:rPr>
          <w:rFonts w:cs="Times New Roman"/>
          <w:sz w:val="20"/>
          <w:szCs w:val="20"/>
        </w:rPr>
      </w:pPr>
      <w:r w:rsidRPr="00586C47">
        <w:rPr>
          <w:rFonts w:cs="Times New Roman"/>
          <w:b/>
          <w:bCs/>
          <w:sz w:val="20"/>
          <w:szCs w:val="20"/>
        </w:rPr>
        <w:t>Low-Impact Development (LID):</w:t>
      </w:r>
      <w:r w:rsidRPr="00586C47">
        <w:rPr>
          <w:rFonts w:cs="Times New Roman"/>
          <w:sz w:val="20"/>
          <w:szCs w:val="20"/>
        </w:rPr>
        <w:t xml:space="preserve"> An approach to land development that works with nature to manage stormwater as close to its source as possible, promoted in the TGS.</w:t>
      </w:r>
    </w:p>
    <w:p w14:paraId="1289EBD6" w14:textId="3FB81AFC" w:rsidR="00052B3F" w:rsidRPr="00586C47" w:rsidRDefault="00052B3F" w:rsidP="00052B3F">
      <w:pPr>
        <w:jc w:val="both"/>
        <w:rPr>
          <w:rFonts w:cs="Times New Roman"/>
          <w:sz w:val="20"/>
          <w:szCs w:val="20"/>
        </w:rPr>
      </w:pPr>
      <w:r w:rsidRPr="00586C47">
        <w:rPr>
          <w:rFonts w:cs="Times New Roman"/>
          <w:b/>
          <w:bCs/>
          <w:sz w:val="20"/>
          <w:szCs w:val="20"/>
        </w:rPr>
        <w:t>Low-Temperature District Energy System:</w:t>
      </w:r>
      <w:r w:rsidRPr="00586C47">
        <w:rPr>
          <w:rFonts w:cs="Times New Roman"/>
          <w:sz w:val="20"/>
          <w:szCs w:val="20"/>
        </w:rPr>
        <w:t xml:space="preserve"> An advanced district energy system that operates at lower temperatures, allowing for greater integration of renewable energy sources and waste heat recovery.</w:t>
      </w:r>
    </w:p>
    <w:p w14:paraId="5864873A" w14:textId="0969ED0F" w:rsidR="00052B3F" w:rsidRPr="00586C47" w:rsidRDefault="00052B3F" w:rsidP="00052B3F">
      <w:pPr>
        <w:jc w:val="both"/>
        <w:rPr>
          <w:rFonts w:cs="Times New Roman"/>
          <w:sz w:val="20"/>
          <w:szCs w:val="20"/>
        </w:rPr>
      </w:pPr>
      <w:r w:rsidRPr="00586C47">
        <w:rPr>
          <w:rFonts w:cs="Times New Roman"/>
          <w:b/>
          <w:bCs/>
          <w:sz w:val="20"/>
          <w:szCs w:val="20"/>
        </w:rPr>
        <w:lastRenderedPageBreak/>
        <w:t>Mass Timber Construction:</w:t>
      </w:r>
      <w:r w:rsidRPr="00586C47">
        <w:rPr>
          <w:rFonts w:cs="Times New Roman"/>
          <w:sz w:val="20"/>
          <w:szCs w:val="20"/>
        </w:rPr>
        <w:t xml:space="preserve"> A building method that uses large, prefabricated wood members for load-bearing structures, often considered a more sustainable alternative to concrete and steel.</w:t>
      </w:r>
    </w:p>
    <w:p w14:paraId="7C9EF73C" w14:textId="45CAA006" w:rsidR="00052B3F" w:rsidRPr="00586C47" w:rsidRDefault="00052B3F" w:rsidP="00052B3F">
      <w:pPr>
        <w:jc w:val="both"/>
        <w:rPr>
          <w:rFonts w:cs="Times New Roman"/>
          <w:sz w:val="20"/>
          <w:szCs w:val="20"/>
        </w:rPr>
      </w:pPr>
      <w:r w:rsidRPr="00586C47">
        <w:rPr>
          <w:rFonts w:cs="Times New Roman"/>
          <w:b/>
          <w:bCs/>
          <w:sz w:val="20"/>
          <w:szCs w:val="20"/>
        </w:rPr>
        <w:t>Net Zero Approach:</w:t>
      </w:r>
      <w:r w:rsidRPr="00586C47">
        <w:rPr>
          <w:rFonts w:cs="Times New Roman"/>
          <w:sz w:val="20"/>
          <w:szCs w:val="20"/>
        </w:rPr>
        <w:t xml:space="preserve"> Strategies employed by green building standards to achieve a balance between energy consumed and energy generated on-site, often focusing on both energy efficiency and renewable energy production.</w:t>
      </w:r>
    </w:p>
    <w:p w14:paraId="338FEAAF" w14:textId="0761962B" w:rsidR="00052B3F" w:rsidRPr="00586C47" w:rsidRDefault="00052B3F" w:rsidP="00052B3F">
      <w:pPr>
        <w:jc w:val="both"/>
        <w:rPr>
          <w:rFonts w:cs="Times New Roman"/>
          <w:sz w:val="20"/>
          <w:szCs w:val="20"/>
        </w:rPr>
      </w:pPr>
      <w:r w:rsidRPr="00586C47">
        <w:rPr>
          <w:rFonts w:cs="Times New Roman"/>
          <w:b/>
          <w:bCs/>
          <w:sz w:val="20"/>
          <w:szCs w:val="20"/>
        </w:rPr>
        <w:t>Net Zero Carbon Emissions:</w:t>
      </w:r>
      <w:r w:rsidRPr="00586C47">
        <w:rPr>
          <w:rFonts w:cs="Times New Roman"/>
          <w:sz w:val="20"/>
          <w:szCs w:val="20"/>
        </w:rPr>
        <w:t xml:space="preserve"> A state where the total amount of greenhouse gas emissions produced by an entity (in this case, York University) is balanced by the amount removed from the atmosphere or offset.</w:t>
      </w:r>
    </w:p>
    <w:p w14:paraId="12F90230" w14:textId="18C2E1EA" w:rsidR="00052B3F" w:rsidRPr="00586C47" w:rsidRDefault="00052B3F" w:rsidP="00052B3F">
      <w:pPr>
        <w:jc w:val="both"/>
        <w:rPr>
          <w:rFonts w:cs="Times New Roman"/>
          <w:sz w:val="20"/>
          <w:szCs w:val="20"/>
        </w:rPr>
      </w:pPr>
      <w:r w:rsidRPr="00586C47">
        <w:rPr>
          <w:rFonts w:cs="Times New Roman"/>
          <w:b/>
          <w:bCs/>
          <w:sz w:val="20"/>
          <w:szCs w:val="20"/>
        </w:rPr>
        <w:t>On-site Renewable Energy:</w:t>
      </w:r>
      <w:r w:rsidRPr="00586C47">
        <w:rPr>
          <w:rFonts w:cs="Times New Roman"/>
          <w:sz w:val="20"/>
          <w:szCs w:val="20"/>
        </w:rPr>
        <w:t xml:space="preserve"> Energy generated from renewable sources within the project site, a consideration in various green building standards.</w:t>
      </w:r>
    </w:p>
    <w:p w14:paraId="2160701C" w14:textId="7DBEB8C2" w:rsidR="00052B3F" w:rsidRPr="00586C47" w:rsidRDefault="00052B3F" w:rsidP="00052B3F">
      <w:pPr>
        <w:jc w:val="both"/>
        <w:rPr>
          <w:rFonts w:cs="Times New Roman"/>
          <w:sz w:val="20"/>
          <w:szCs w:val="20"/>
        </w:rPr>
      </w:pPr>
      <w:r w:rsidRPr="00586C47">
        <w:rPr>
          <w:rFonts w:cs="Times New Roman"/>
          <w:b/>
          <w:bCs/>
          <w:sz w:val="20"/>
          <w:szCs w:val="20"/>
        </w:rPr>
        <w:t>Passive Design:</w:t>
      </w:r>
      <w:r w:rsidRPr="00586C47">
        <w:rPr>
          <w:rFonts w:cs="Times New Roman"/>
          <w:sz w:val="20"/>
          <w:szCs w:val="20"/>
        </w:rPr>
        <w:t xml:space="preserve"> An approach to building design that uses architectural features to minimize energy consumption and optimize occupant comfort, including considerations of building orientation, insulation, and natural ventilation.</w:t>
      </w:r>
    </w:p>
    <w:p w14:paraId="0BB9ABD4" w14:textId="77777777" w:rsidR="00052B3F" w:rsidRPr="00586C47" w:rsidRDefault="00052B3F" w:rsidP="00052B3F">
      <w:pPr>
        <w:jc w:val="both"/>
        <w:rPr>
          <w:rFonts w:cs="Times New Roman"/>
          <w:sz w:val="20"/>
          <w:szCs w:val="20"/>
        </w:rPr>
      </w:pPr>
      <w:r w:rsidRPr="00586C47">
        <w:rPr>
          <w:rFonts w:cs="Times New Roman"/>
          <w:b/>
          <w:bCs/>
          <w:sz w:val="20"/>
          <w:szCs w:val="20"/>
        </w:rPr>
        <w:t>Passive House (</w:t>
      </w:r>
      <w:r w:rsidRPr="00586C47">
        <w:rPr>
          <w:rFonts w:cs="Times New Roman"/>
          <w:b/>
          <w:bCs/>
          <w:i/>
          <w:iCs/>
          <w:sz w:val="20"/>
          <w:szCs w:val="20"/>
        </w:rPr>
        <w:t>Passivhaus</w:t>
      </w:r>
      <w:r w:rsidRPr="00586C47">
        <w:rPr>
          <w:rFonts w:cs="Times New Roman"/>
          <w:b/>
          <w:bCs/>
          <w:sz w:val="20"/>
          <w:szCs w:val="20"/>
        </w:rPr>
        <w:t>):</w:t>
      </w:r>
      <w:r w:rsidRPr="00586C47">
        <w:rPr>
          <w:rFonts w:cs="Times New Roman"/>
          <w:sz w:val="20"/>
          <w:szCs w:val="20"/>
        </w:rPr>
        <w:t xml:space="preserve"> A rigorous standard for energy efficiency in buildings, originating in Germany, that results in ultra-low energy buildings requiring minimal space heating or cooling.</w:t>
      </w:r>
    </w:p>
    <w:p w14:paraId="7DC593EF" w14:textId="59C88C64" w:rsidR="00052B3F" w:rsidRPr="00586C47" w:rsidRDefault="00052B3F" w:rsidP="00052B3F">
      <w:pPr>
        <w:jc w:val="both"/>
        <w:rPr>
          <w:rFonts w:cs="Times New Roman"/>
          <w:sz w:val="20"/>
          <w:szCs w:val="20"/>
        </w:rPr>
      </w:pPr>
      <w:r w:rsidRPr="00586C47">
        <w:rPr>
          <w:rFonts w:cs="Times New Roman"/>
          <w:b/>
          <w:bCs/>
          <w:sz w:val="20"/>
          <w:szCs w:val="20"/>
        </w:rPr>
        <w:t>Passive House Certification Levels:</w:t>
      </w:r>
      <w:r w:rsidRPr="00586C47">
        <w:rPr>
          <w:rFonts w:cs="Times New Roman"/>
          <w:sz w:val="20"/>
          <w:szCs w:val="20"/>
        </w:rPr>
        <w:t xml:space="preserve"> The three levels of Passive House certification - Classic, Plus, and Premium - with increasing requirements for energy efficiency and renewable energy generation.</w:t>
      </w:r>
    </w:p>
    <w:p w14:paraId="036C0DD5" w14:textId="46F901D8" w:rsidR="00052B3F" w:rsidRPr="00586C47" w:rsidRDefault="00052B3F" w:rsidP="00052B3F">
      <w:pPr>
        <w:jc w:val="both"/>
        <w:rPr>
          <w:rFonts w:cs="Times New Roman"/>
          <w:sz w:val="20"/>
          <w:szCs w:val="20"/>
        </w:rPr>
      </w:pPr>
      <w:r w:rsidRPr="00586C47">
        <w:rPr>
          <w:rFonts w:cs="Times New Roman"/>
          <w:b/>
          <w:bCs/>
          <w:sz w:val="20"/>
          <w:szCs w:val="20"/>
        </w:rPr>
        <w:t>Performance Tiers:</w:t>
      </w:r>
      <w:r w:rsidRPr="00586C47">
        <w:rPr>
          <w:rFonts w:cs="Times New Roman"/>
          <w:sz w:val="20"/>
          <w:szCs w:val="20"/>
        </w:rPr>
        <w:t xml:space="preserve"> The hierarchical system used in the TGS, with Tier 1 being mandatory and higher tiers (2-4) being voluntary with increasing levels of environmental performance.</w:t>
      </w:r>
    </w:p>
    <w:p w14:paraId="40AB30B9" w14:textId="03C8BCA0" w:rsidR="00052B3F" w:rsidRPr="00586C47" w:rsidRDefault="00052B3F" w:rsidP="00052B3F">
      <w:pPr>
        <w:jc w:val="both"/>
        <w:rPr>
          <w:rFonts w:cs="Times New Roman"/>
          <w:sz w:val="20"/>
          <w:szCs w:val="20"/>
        </w:rPr>
      </w:pPr>
      <w:r w:rsidRPr="00586C47">
        <w:rPr>
          <w:rFonts w:cs="Times New Roman"/>
          <w:b/>
          <w:bCs/>
          <w:sz w:val="20"/>
          <w:szCs w:val="20"/>
        </w:rPr>
        <w:t>Post-Occupancy Evaluation:</w:t>
      </w:r>
      <w:r w:rsidRPr="00586C47">
        <w:rPr>
          <w:rFonts w:cs="Times New Roman"/>
          <w:sz w:val="20"/>
          <w:szCs w:val="20"/>
        </w:rPr>
        <w:t xml:space="preserve"> A systematic assessment of buildings in use to provide designers with information about the performance of their designs and building owners and users with guidelines to improve building performance.</w:t>
      </w:r>
    </w:p>
    <w:p w14:paraId="79793DE1" w14:textId="2D3FCDD9" w:rsidR="00052B3F" w:rsidRPr="00586C47" w:rsidRDefault="00052B3F" w:rsidP="00052B3F">
      <w:pPr>
        <w:jc w:val="both"/>
        <w:rPr>
          <w:rFonts w:cs="Times New Roman"/>
          <w:sz w:val="20"/>
          <w:szCs w:val="20"/>
        </w:rPr>
      </w:pPr>
      <w:r w:rsidRPr="00586C47">
        <w:rPr>
          <w:rFonts w:cs="Times New Roman"/>
          <w:b/>
          <w:bCs/>
          <w:sz w:val="20"/>
          <w:szCs w:val="20"/>
        </w:rPr>
        <w:t>Regenerative Design:</w:t>
      </w:r>
      <w:r w:rsidRPr="00586C47">
        <w:rPr>
          <w:rFonts w:cs="Times New Roman"/>
          <w:sz w:val="20"/>
          <w:szCs w:val="20"/>
        </w:rPr>
        <w:t xml:space="preserve"> An approach that goes beyond sustainable design to create systems that restore or regenerate the environment.</w:t>
      </w:r>
    </w:p>
    <w:p w14:paraId="4E2BD635" w14:textId="65E214AB" w:rsidR="00052B3F" w:rsidRPr="00586C47" w:rsidRDefault="00052B3F" w:rsidP="00052B3F">
      <w:pPr>
        <w:jc w:val="both"/>
        <w:rPr>
          <w:rFonts w:cs="Times New Roman"/>
          <w:sz w:val="20"/>
          <w:szCs w:val="20"/>
        </w:rPr>
      </w:pPr>
      <w:r w:rsidRPr="00586C47">
        <w:rPr>
          <w:rFonts w:cs="Times New Roman"/>
          <w:b/>
          <w:bCs/>
          <w:sz w:val="20"/>
          <w:szCs w:val="20"/>
        </w:rPr>
        <w:t>Resilience:</w:t>
      </w:r>
      <w:r w:rsidRPr="00586C47">
        <w:rPr>
          <w:rFonts w:cs="Times New Roman"/>
          <w:sz w:val="20"/>
          <w:szCs w:val="20"/>
        </w:rPr>
        <w:t xml:space="preserve"> The capacity of buildings and infrastructure to withstand and rapidly recover from disruptions, an increasingly important consideration in green building standards.</w:t>
      </w:r>
    </w:p>
    <w:p w14:paraId="7000C5B0" w14:textId="39C56C8C" w:rsidR="00052B3F" w:rsidRPr="00586C47" w:rsidRDefault="00052B3F" w:rsidP="00052B3F">
      <w:pPr>
        <w:jc w:val="both"/>
        <w:rPr>
          <w:rFonts w:cs="Times New Roman"/>
          <w:sz w:val="20"/>
          <w:szCs w:val="20"/>
        </w:rPr>
      </w:pPr>
      <w:r w:rsidRPr="00586C47">
        <w:rPr>
          <w:rFonts w:cs="Times New Roman"/>
          <w:b/>
          <w:bCs/>
          <w:sz w:val="20"/>
          <w:szCs w:val="20"/>
        </w:rPr>
        <w:t>Scope and Focus:</w:t>
      </w:r>
      <w:r w:rsidRPr="00586C47">
        <w:rPr>
          <w:rFonts w:cs="Times New Roman"/>
          <w:sz w:val="20"/>
          <w:szCs w:val="20"/>
        </w:rPr>
        <w:t xml:space="preserve"> The range of sustainability aspects covered by a green building standard and its primary areas of emphasis.</w:t>
      </w:r>
    </w:p>
    <w:p w14:paraId="4D473F5B" w14:textId="1DEA1F74" w:rsidR="00052B3F" w:rsidRPr="00586C47" w:rsidRDefault="00052B3F" w:rsidP="00052B3F">
      <w:pPr>
        <w:jc w:val="both"/>
        <w:rPr>
          <w:rFonts w:cs="Times New Roman"/>
          <w:sz w:val="20"/>
          <w:szCs w:val="20"/>
        </w:rPr>
      </w:pPr>
      <w:r w:rsidRPr="00586C47">
        <w:rPr>
          <w:rFonts w:cs="Times New Roman"/>
          <w:b/>
          <w:bCs/>
          <w:sz w:val="20"/>
          <w:szCs w:val="20"/>
        </w:rPr>
        <w:t>Smart Building Controls:</w:t>
      </w:r>
      <w:r w:rsidRPr="00586C47">
        <w:rPr>
          <w:rFonts w:cs="Times New Roman"/>
          <w:sz w:val="20"/>
          <w:szCs w:val="20"/>
        </w:rPr>
        <w:t xml:space="preserve"> Advanced building management systems that use artificial intelligence and machine learning to optimize building performance and energy use.</w:t>
      </w:r>
    </w:p>
    <w:p w14:paraId="27E68088" w14:textId="0767385E" w:rsidR="00052B3F" w:rsidRPr="00586C47" w:rsidRDefault="00052B3F" w:rsidP="00052B3F">
      <w:pPr>
        <w:jc w:val="both"/>
        <w:rPr>
          <w:rFonts w:cs="Times New Roman"/>
          <w:sz w:val="20"/>
          <w:szCs w:val="20"/>
        </w:rPr>
      </w:pPr>
      <w:r w:rsidRPr="00586C47">
        <w:rPr>
          <w:rFonts w:cs="Times New Roman"/>
          <w:b/>
          <w:bCs/>
          <w:sz w:val="20"/>
          <w:szCs w:val="20"/>
        </w:rPr>
        <w:t>Solid Waste:</w:t>
      </w:r>
      <w:r w:rsidRPr="00586C47">
        <w:rPr>
          <w:rFonts w:cs="Times New Roman"/>
          <w:sz w:val="20"/>
          <w:szCs w:val="20"/>
        </w:rPr>
        <w:t xml:space="preserve"> A TGS component that encourages waste reduction, recycling, and efficient waste management practices.</w:t>
      </w:r>
    </w:p>
    <w:p w14:paraId="648D9B42" w14:textId="38F76EEC" w:rsidR="00052B3F" w:rsidRPr="00586C47" w:rsidRDefault="00052B3F" w:rsidP="00052B3F">
      <w:pPr>
        <w:jc w:val="both"/>
        <w:rPr>
          <w:rFonts w:cs="Times New Roman"/>
          <w:sz w:val="20"/>
          <w:szCs w:val="20"/>
        </w:rPr>
      </w:pPr>
      <w:r w:rsidRPr="00586C47">
        <w:rPr>
          <w:rFonts w:cs="Times New Roman"/>
          <w:b/>
          <w:bCs/>
          <w:sz w:val="20"/>
          <w:szCs w:val="20"/>
        </w:rPr>
        <w:t>Stakeholder Engagement:</w:t>
      </w:r>
      <w:r w:rsidRPr="00586C47">
        <w:rPr>
          <w:rFonts w:cs="Times New Roman"/>
          <w:sz w:val="20"/>
          <w:szCs w:val="20"/>
        </w:rPr>
        <w:t xml:space="preserve"> The process by which an organization involves people who may be affected by the decisions it makes or can influence the implementation of its decisions.</w:t>
      </w:r>
    </w:p>
    <w:p w14:paraId="765C9C9F" w14:textId="3B1BEA47" w:rsidR="00052B3F" w:rsidRPr="00586C47" w:rsidRDefault="00052B3F" w:rsidP="00052B3F">
      <w:pPr>
        <w:jc w:val="both"/>
        <w:rPr>
          <w:rFonts w:cs="Times New Roman"/>
          <w:sz w:val="20"/>
          <w:szCs w:val="20"/>
        </w:rPr>
      </w:pPr>
      <w:r w:rsidRPr="00586C47">
        <w:rPr>
          <w:rFonts w:cs="Times New Roman"/>
          <w:b/>
          <w:bCs/>
          <w:sz w:val="20"/>
          <w:szCs w:val="20"/>
        </w:rPr>
        <w:lastRenderedPageBreak/>
        <w:t>Stormwater Management:</w:t>
      </w:r>
      <w:r w:rsidRPr="00586C47">
        <w:rPr>
          <w:rFonts w:cs="Times New Roman"/>
          <w:sz w:val="20"/>
          <w:szCs w:val="20"/>
        </w:rPr>
        <w:t xml:space="preserve"> The effort to reduce runoff of rainwater or melted snow into streets, lawns and other sites and the improvement of water quality.</w:t>
      </w:r>
    </w:p>
    <w:p w14:paraId="1E00F859" w14:textId="495E20C4" w:rsidR="00052B3F" w:rsidRPr="00586C47" w:rsidRDefault="00052B3F" w:rsidP="00052B3F">
      <w:pPr>
        <w:jc w:val="both"/>
        <w:rPr>
          <w:rFonts w:cs="Times New Roman"/>
          <w:sz w:val="20"/>
          <w:szCs w:val="20"/>
        </w:rPr>
      </w:pPr>
      <w:r w:rsidRPr="00586C47">
        <w:rPr>
          <w:rFonts w:cs="Times New Roman"/>
          <w:b/>
          <w:bCs/>
          <w:sz w:val="20"/>
          <w:szCs w:val="20"/>
        </w:rPr>
        <w:t>Strategic Implementation Network:</w:t>
      </w:r>
      <w:r w:rsidRPr="00586C47">
        <w:rPr>
          <w:rFonts w:cs="Times New Roman"/>
          <w:sz w:val="20"/>
          <w:szCs w:val="20"/>
        </w:rPr>
        <w:t xml:space="preserve"> A collaborative approach involving industry partners to access global expertise and potentially innovative financing models for sustainability initiatives.</w:t>
      </w:r>
    </w:p>
    <w:p w14:paraId="21D15158" w14:textId="3BDA8647" w:rsidR="00052B3F" w:rsidRPr="00586C47" w:rsidRDefault="00052B3F" w:rsidP="00052B3F">
      <w:pPr>
        <w:jc w:val="both"/>
        <w:rPr>
          <w:rFonts w:cs="Times New Roman"/>
          <w:sz w:val="20"/>
          <w:szCs w:val="20"/>
        </w:rPr>
      </w:pPr>
      <w:r w:rsidRPr="00586C47">
        <w:rPr>
          <w:rFonts w:cs="Times New Roman"/>
          <w:b/>
          <w:bCs/>
          <w:sz w:val="20"/>
          <w:szCs w:val="20"/>
        </w:rPr>
        <w:t>Sustainability Governance:</w:t>
      </w:r>
      <w:r w:rsidRPr="00586C47">
        <w:rPr>
          <w:rFonts w:cs="Times New Roman"/>
          <w:sz w:val="20"/>
          <w:szCs w:val="20"/>
        </w:rPr>
        <w:t xml:space="preserve"> The system of rules, practices, and processes by which an institution directs and controls its sustainability efforts.</w:t>
      </w:r>
    </w:p>
    <w:p w14:paraId="522042C8" w14:textId="5B2BD6C1" w:rsidR="00052B3F" w:rsidRPr="00586C47" w:rsidRDefault="00052B3F" w:rsidP="00052B3F">
      <w:pPr>
        <w:jc w:val="both"/>
        <w:rPr>
          <w:rFonts w:cs="Times New Roman"/>
          <w:sz w:val="20"/>
          <w:szCs w:val="20"/>
        </w:rPr>
      </w:pPr>
      <w:r w:rsidRPr="00586C47">
        <w:rPr>
          <w:rFonts w:cs="Times New Roman"/>
          <w:b/>
          <w:bCs/>
          <w:sz w:val="20"/>
          <w:szCs w:val="20"/>
        </w:rPr>
        <w:t xml:space="preserve">Sustainability Tracking, Assessment &amp; Rating System (STARS): </w:t>
      </w:r>
      <w:r w:rsidRPr="00586C47">
        <w:rPr>
          <w:rFonts w:cs="Times New Roman"/>
          <w:sz w:val="20"/>
          <w:szCs w:val="20"/>
        </w:rPr>
        <w:t>A transparent, self-reporting framework for colleges and universities to measure their sustainability performance developed by the Association for the Advancement of Sustainability in Higher Education.</w:t>
      </w:r>
    </w:p>
    <w:p w14:paraId="5F9FED88" w14:textId="0097D0A4" w:rsidR="00052B3F" w:rsidRPr="00586C47" w:rsidRDefault="00052B3F" w:rsidP="00052B3F">
      <w:pPr>
        <w:jc w:val="both"/>
        <w:rPr>
          <w:rFonts w:cs="Times New Roman"/>
          <w:sz w:val="20"/>
          <w:szCs w:val="20"/>
        </w:rPr>
      </w:pPr>
      <w:r w:rsidRPr="00586C47">
        <w:rPr>
          <w:rFonts w:cs="Times New Roman"/>
          <w:b/>
          <w:bCs/>
          <w:sz w:val="20"/>
          <w:szCs w:val="20"/>
        </w:rPr>
        <w:t>Sustainability:</w:t>
      </w:r>
      <w:r w:rsidRPr="00586C47">
        <w:rPr>
          <w:rFonts w:cs="Times New Roman"/>
          <w:sz w:val="20"/>
          <w:szCs w:val="20"/>
        </w:rPr>
        <w:t xml:space="preserve"> In the context of higher education, sustainability refers to the integration of environmental, social, and economic considerations in institutional decision-making and operations to meet present needs without compromising the ability of future generations to meet their own needs.</w:t>
      </w:r>
    </w:p>
    <w:p w14:paraId="5F1B7F0E" w14:textId="7B622E51" w:rsidR="00052B3F" w:rsidRPr="00586C47" w:rsidRDefault="00052B3F" w:rsidP="00052B3F">
      <w:pPr>
        <w:jc w:val="both"/>
        <w:rPr>
          <w:rFonts w:cs="Times New Roman"/>
          <w:sz w:val="20"/>
          <w:szCs w:val="20"/>
        </w:rPr>
      </w:pPr>
      <w:r w:rsidRPr="00586C47">
        <w:rPr>
          <w:rFonts w:cs="Times New Roman"/>
          <w:b/>
          <w:bCs/>
          <w:sz w:val="20"/>
          <w:szCs w:val="20"/>
        </w:rPr>
        <w:t>Thermal Bridging Mitigation</w:t>
      </w:r>
      <w:r w:rsidRPr="00586C47">
        <w:rPr>
          <w:rFonts w:cs="Times New Roman"/>
          <w:sz w:val="20"/>
          <w:szCs w:val="20"/>
        </w:rPr>
        <w:t>: Strategies and techniques used to reduce heat transfer through building envelope components that are more conductive than surrounding materials.</w:t>
      </w:r>
    </w:p>
    <w:p w14:paraId="663F4497" w14:textId="79E5AE71" w:rsidR="00052B3F" w:rsidRPr="00586C47" w:rsidRDefault="00052B3F" w:rsidP="00052B3F">
      <w:pPr>
        <w:jc w:val="both"/>
        <w:rPr>
          <w:rFonts w:cs="Times New Roman"/>
          <w:sz w:val="20"/>
          <w:szCs w:val="20"/>
        </w:rPr>
      </w:pPr>
      <w:r w:rsidRPr="00586C47">
        <w:rPr>
          <w:rFonts w:cs="Times New Roman"/>
          <w:b/>
          <w:bCs/>
          <w:sz w:val="20"/>
          <w:szCs w:val="20"/>
        </w:rPr>
        <w:t>Thermal Bridging:</w:t>
      </w:r>
      <w:r w:rsidRPr="00586C47">
        <w:rPr>
          <w:rFonts w:cs="Times New Roman"/>
          <w:sz w:val="20"/>
          <w:szCs w:val="20"/>
        </w:rPr>
        <w:t xml:space="preserve"> The movement of heat across an object that is more conductive than the surrounding materials, creating a path of least resistance for heat transfer. Addressing thermal bridging is a consideration in high-performance building envelopes.</w:t>
      </w:r>
    </w:p>
    <w:p w14:paraId="75CD5FE6" w14:textId="46E103BA" w:rsidR="00052B3F" w:rsidRPr="00586C47" w:rsidRDefault="00052B3F" w:rsidP="00052B3F">
      <w:pPr>
        <w:jc w:val="both"/>
        <w:rPr>
          <w:rFonts w:cs="Times New Roman"/>
          <w:sz w:val="20"/>
          <w:szCs w:val="20"/>
        </w:rPr>
      </w:pPr>
      <w:r w:rsidRPr="00586C47">
        <w:rPr>
          <w:rFonts w:cs="Times New Roman"/>
          <w:b/>
          <w:bCs/>
          <w:sz w:val="20"/>
          <w:szCs w:val="20"/>
        </w:rPr>
        <w:t>Thermal Comfort:</w:t>
      </w:r>
      <w:r w:rsidRPr="00586C47">
        <w:rPr>
          <w:rFonts w:cs="Times New Roman"/>
          <w:sz w:val="20"/>
          <w:szCs w:val="20"/>
        </w:rPr>
        <w:t xml:space="preserve"> The condition of mind that expresses satisfaction with the thermal environment, addressed in building design through temperature, humidity, and air movement control.</w:t>
      </w:r>
    </w:p>
    <w:p w14:paraId="058BB531" w14:textId="41A1C98E" w:rsidR="00052B3F" w:rsidRPr="00586C47" w:rsidRDefault="00052B3F" w:rsidP="00052B3F">
      <w:pPr>
        <w:jc w:val="both"/>
        <w:rPr>
          <w:rFonts w:cs="Times New Roman"/>
          <w:sz w:val="20"/>
          <w:szCs w:val="20"/>
        </w:rPr>
      </w:pPr>
      <w:r w:rsidRPr="00586C47">
        <w:rPr>
          <w:rFonts w:cs="Times New Roman"/>
          <w:b/>
          <w:bCs/>
          <w:sz w:val="20"/>
          <w:szCs w:val="20"/>
        </w:rPr>
        <w:t>Thermal Energy Demand Intensity (TEDI):</w:t>
      </w:r>
      <w:r w:rsidRPr="00586C47">
        <w:rPr>
          <w:rFonts w:cs="Times New Roman"/>
          <w:sz w:val="20"/>
          <w:szCs w:val="20"/>
        </w:rPr>
        <w:t xml:space="preserve"> A measure of a building</w:t>
      </w:r>
      <w:r w:rsidR="00027B17">
        <w:rPr>
          <w:rFonts w:cs="Times New Roman"/>
          <w:sz w:val="20"/>
          <w:szCs w:val="20"/>
        </w:rPr>
        <w:t>’</w:t>
      </w:r>
      <w:r w:rsidRPr="00586C47">
        <w:rPr>
          <w:rFonts w:cs="Times New Roman"/>
          <w:sz w:val="20"/>
          <w:szCs w:val="20"/>
        </w:rPr>
        <w:t>s annual heating and cooling energy demand per unit of gross floor area, expressed in kWh/m²/year.</w:t>
      </w:r>
    </w:p>
    <w:p w14:paraId="771C9CE6" w14:textId="0933F97C" w:rsidR="00052B3F" w:rsidRPr="00586C47" w:rsidRDefault="00052B3F" w:rsidP="00052B3F">
      <w:pPr>
        <w:jc w:val="both"/>
        <w:rPr>
          <w:rFonts w:cs="Times New Roman"/>
          <w:sz w:val="20"/>
          <w:szCs w:val="20"/>
        </w:rPr>
      </w:pPr>
      <w:r w:rsidRPr="00586C47">
        <w:rPr>
          <w:rFonts w:cs="Times New Roman"/>
          <w:b/>
          <w:bCs/>
          <w:sz w:val="20"/>
          <w:szCs w:val="20"/>
        </w:rPr>
        <w:t>Thermal Energy Storage:</w:t>
      </w:r>
      <w:r w:rsidRPr="00586C47">
        <w:rPr>
          <w:rFonts w:cs="Times New Roman"/>
          <w:sz w:val="20"/>
          <w:szCs w:val="20"/>
        </w:rPr>
        <w:t xml:space="preserve"> Technologies and strategies used to store thermal energy for later use, supporting grid flexibility and renewable energy integration.</w:t>
      </w:r>
    </w:p>
    <w:p w14:paraId="0F2D813B" w14:textId="1BE7083E" w:rsidR="00052B3F" w:rsidRPr="00586C47" w:rsidRDefault="00052B3F" w:rsidP="00052B3F">
      <w:pPr>
        <w:jc w:val="both"/>
        <w:rPr>
          <w:rFonts w:cs="Times New Roman"/>
          <w:sz w:val="20"/>
          <w:szCs w:val="20"/>
        </w:rPr>
      </w:pPr>
      <w:r w:rsidRPr="00586C47">
        <w:rPr>
          <w:rFonts w:cs="Times New Roman"/>
          <w:b/>
          <w:bCs/>
          <w:sz w:val="20"/>
          <w:szCs w:val="20"/>
        </w:rPr>
        <w:t>Thermal Resilience:</w:t>
      </w:r>
      <w:r w:rsidRPr="00586C47">
        <w:rPr>
          <w:rFonts w:cs="Times New Roman"/>
          <w:sz w:val="20"/>
          <w:szCs w:val="20"/>
        </w:rPr>
        <w:t xml:space="preserve"> The ability of buildings to maintain livable conditions during extreme temperature events or power outages.</w:t>
      </w:r>
    </w:p>
    <w:p w14:paraId="66ACC4DB" w14:textId="783990BD" w:rsidR="00052B3F" w:rsidRPr="00586C47" w:rsidRDefault="00052B3F" w:rsidP="00052B3F">
      <w:pPr>
        <w:jc w:val="both"/>
        <w:rPr>
          <w:rFonts w:cs="Times New Roman"/>
          <w:sz w:val="20"/>
          <w:szCs w:val="20"/>
        </w:rPr>
      </w:pPr>
      <w:r w:rsidRPr="00586C47">
        <w:rPr>
          <w:rFonts w:cs="Times New Roman"/>
          <w:b/>
          <w:bCs/>
          <w:sz w:val="20"/>
          <w:szCs w:val="20"/>
        </w:rPr>
        <w:t>Times Higher Education (THE) Impact Rankings:</w:t>
      </w:r>
      <w:r w:rsidRPr="00586C47">
        <w:rPr>
          <w:rFonts w:cs="Times New Roman"/>
          <w:sz w:val="20"/>
          <w:szCs w:val="20"/>
        </w:rPr>
        <w:t xml:space="preserve"> A global performance table that assesses universities against the United Nations</w:t>
      </w:r>
      <w:r w:rsidR="00027B17">
        <w:rPr>
          <w:rFonts w:cs="Times New Roman"/>
          <w:sz w:val="20"/>
          <w:szCs w:val="20"/>
        </w:rPr>
        <w:t>’</w:t>
      </w:r>
      <w:r w:rsidRPr="00586C47">
        <w:rPr>
          <w:rFonts w:cs="Times New Roman"/>
          <w:sz w:val="20"/>
          <w:szCs w:val="20"/>
        </w:rPr>
        <w:t xml:space="preserve"> Sustainable Development Goals (SDGs).</w:t>
      </w:r>
    </w:p>
    <w:p w14:paraId="2DE13F01" w14:textId="538342B4" w:rsidR="00052B3F" w:rsidRPr="00586C47" w:rsidRDefault="00052B3F" w:rsidP="00052B3F">
      <w:pPr>
        <w:jc w:val="both"/>
        <w:rPr>
          <w:rFonts w:cs="Times New Roman"/>
          <w:sz w:val="20"/>
          <w:szCs w:val="20"/>
        </w:rPr>
      </w:pPr>
      <w:r w:rsidRPr="00586C47">
        <w:rPr>
          <w:rFonts w:cs="Times New Roman"/>
          <w:b/>
          <w:bCs/>
          <w:sz w:val="20"/>
          <w:szCs w:val="20"/>
        </w:rPr>
        <w:t>Toronto Green Standard (TGS):</w:t>
      </w:r>
      <w:r w:rsidRPr="00586C47">
        <w:rPr>
          <w:rFonts w:cs="Times New Roman"/>
          <w:sz w:val="20"/>
          <w:szCs w:val="20"/>
        </w:rPr>
        <w:t xml:space="preserve"> A set of performance measures for sustainable site and building design in Toronto, addressing air quality, greenhouse gas emissions, energy efficiency, water quality, and ecology.</w:t>
      </w:r>
    </w:p>
    <w:p w14:paraId="2E873AEF" w14:textId="7131FAC5" w:rsidR="00052B3F" w:rsidRPr="00586C47" w:rsidRDefault="00052B3F" w:rsidP="00052B3F">
      <w:pPr>
        <w:jc w:val="both"/>
        <w:rPr>
          <w:rFonts w:cs="Times New Roman"/>
          <w:sz w:val="20"/>
          <w:szCs w:val="20"/>
        </w:rPr>
      </w:pPr>
      <w:r w:rsidRPr="00586C47">
        <w:rPr>
          <w:rFonts w:cs="Times New Roman"/>
          <w:b/>
          <w:bCs/>
          <w:sz w:val="20"/>
          <w:szCs w:val="20"/>
        </w:rPr>
        <w:t>Total Energy Use Intensity (TEUI):</w:t>
      </w:r>
      <w:r w:rsidRPr="00586C47">
        <w:rPr>
          <w:rFonts w:cs="Times New Roman"/>
          <w:sz w:val="20"/>
          <w:szCs w:val="20"/>
        </w:rPr>
        <w:t xml:space="preserve"> A measure of a building</w:t>
      </w:r>
      <w:r w:rsidR="00027B17">
        <w:rPr>
          <w:rFonts w:cs="Times New Roman"/>
          <w:sz w:val="20"/>
          <w:szCs w:val="20"/>
        </w:rPr>
        <w:t>’</w:t>
      </w:r>
      <w:r w:rsidRPr="00586C47">
        <w:rPr>
          <w:rFonts w:cs="Times New Roman"/>
          <w:sz w:val="20"/>
          <w:szCs w:val="20"/>
        </w:rPr>
        <w:t>s total annual energy use per unit of gross floor area, expressed in kWh/m²/year.</w:t>
      </w:r>
    </w:p>
    <w:p w14:paraId="59B2700F" w14:textId="0CC88C2B" w:rsidR="00052B3F" w:rsidRPr="00586C47" w:rsidRDefault="00052B3F" w:rsidP="00052B3F">
      <w:pPr>
        <w:jc w:val="both"/>
        <w:rPr>
          <w:rFonts w:cs="Times New Roman"/>
          <w:sz w:val="20"/>
          <w:szCs w:val="20"/>
        </w:rPr>
      </w:pPr>
      <w:r w:rsidRPr="00586C47">
        <w:rPr>
          <w:rFonts w:cs="Times New Roman"/>
          <w:b/>
          <w:bCs/>
          <w:sz w:val="20"/>
          <w:szCs w:val="20"/>
        </w:rPr>
        <w:t>Total Suspended Solids (TSS):</w:t>
      </w:r>
      <w:r w:rsidRPr="00586C47">
        <w:rPr>
          <w:rFonts w:cs="Times New Roman"/>
          <w:sz w:val="20"/>
          <w:szCs w:val="20"/>
        </w:rPr>
        <w:t xml:space="preserve"> A water quality measurement that refers to the amount of solid materials suspended in water, often used as an indicator of stormwater pollution.</w:t>
      </w:r>
    </w:p>
    <w:p w14:paraId="664D967A" w14:textId="3DD76EF5" w:rsidR="00052B3F" w:rsidRPr="00586C47" w:rsidRDefault="00052B3F" w:rsidP="00052B3F">
      <w:pPr>
        <w:jc w:val="both"/>
        <w:rPr>
          <w:rFonts w:cs="Times New Roman"/>
          <w:sz w:val="20"/>
          <w:szCs w:val="20"/>
        </w:rPr>
      </w:pPr>
      <w:r w:rsidRPr="00586C47">
        <w:rPr>
          <w:rFonts w:cs="Times New Roman"/>
          <w:b/>
          <w:bCs/>
          <w:sz w:val="20"/>
          <w:szCs w:val="20"/>
        </w:rPr>
        <w:lastRenderedPageBreak/>
        <w:t>Universal Design</w:t>
      </w:r>
      <w:r w:rsidRPr="00586C47">
        <w:rPr>
          <w:rFonts w:cs="Times New Roman"/>
          <w:sz w:val="20"/>
          <w:szCs w:val="20"/>
        </w:rPr>
        <w:t>: The design of buildings, products, or environments to make them accessible to all people, regardless of age, disability, or other factors.</w:t>
      </w:r>
    </w:p>
    <w:p w14:paraId="1B645C0F" w14:textId="317703BE" w:rsidR="00052B3F" w:rsidRPr="00586C47" w:rsidRDefault="00052B3F" w:rsidP="00052B3F">
      <w:pPr>
        <w:jc w:val="both"/>
        <w:rPr>
          <w:rFonts w:cs="Times New Roman"/>
          <w:sz w:val="20"/>
          <w:szCs w:val="20"/>
        </w:rPr>
      </w:pPr>
      <w:r w:rsidRPr="00586C47">
        <w:rPr>
          <w:rFonts w:cs="Times New Roman"/>
          <w:b/>
          <w:bCs/>
          <w:sz w:val="20"/>
          <w:szCs w:val="20"/>
        </w:rPr>
        <w:t>Urban Heat Island Effect:</w:t>
      </w:r>
      <w:r w:rsidRPr="00586C47">
        <w:rPr>
          <w:rFonts w:cs="Times New Roman"/>
          <w:sz w:val="20"/>
          <w:szCs w:val="20"/>
        </w:rPr>
        <w:t xml:space="preserve"> A phenomenon where urban areas experience higher temperatures than surrounding rural areas due to the concentration of heat-absorbing surfaces and human activities.</w:t>
      </w:r>
    </w:p>
    <w:p w14:paraId="65119DF7" w14:textId="7FA3295E" w:rsidR="00052B3F" w:rsidRPr="00586C47" w:rsidRDefault="00052B3F" w:rsidP="00052B3F">
      <w:pPr>
        <w:jc w:val="both"/>
        <w:rPr>
          <w:rFonts w:cs="Times New Roman"/>
          <w:sz w:val="20"/>
          <w:szCs w:val="20"/>
        </w:rPr>
      </w:pPr>
      <w:r w:rsidRPr="00586C47">
        <w:rPr>
          <w:rFonts w:cs="Times New Roman"/>
          <w:b/>
          <w:bCs/>
          <w:sz w:val="20"/>
          <w:szCs w:val="20"/>
        </w:rPr>
        <w:t>Water Balance:</w:t>
      </w:r>
      <w:r w:rsidRPr="00586C47">
        <w:rPr>
          <w:rFonts w:cs="Times New Roman"/>
          <w:sz w:val="20"/>
          <w:szCs w:val="20"/>
        </w:rPr>
        <w:t xml:space="preserve"> A TGS requirement for retaining a minimum percentage of average annual rainfall on site through infiltration, evapotranspiration, and/or reuse.</w:t>
      </w:r>
    </w:p>
    <w:p w14:paraId="667CCAA7" w14:textId="603F8376" w:rsidR="00052B3F" w:rsidRPr="00586C47" w:rsidRDefault="00052B3F" w:rsidP="00052B3F">
      <w:pPr>
        <w:jc w:val="both"/>
        <w:rPr>
          <w:rFonts w:cs="Times New Roman"/>
          <w:sz w:val="20"/>
          <w:szCs w:val="20"/>
        </w:rPr>
      </w:pPr>
      <w:r w:rsidRPr="00586C47">
        <w:rPr>
          <w:rFonts w:cs="Times New Roman"/>
          <w:b/>
          <w:bCs/>
          <w:sz w:val="20"/>
          <w:szCs w:val="20"/>
        </w:rPr>
        <w:t>Water Conservation:</w:t>
      </w:r>
      <w:r w:rsidRPr="00586C47">
        <w:rPr>
          <w:rFonts w:cs="Times New Roman"/>
          <w:sz w:val="20"/>
          <w:szCs w:val="20"/>
        </w:rPr>
        <w:t xml:space="preserve"> Practices, techniques, and technologies that improve the efficiency of water use and reduce water loss or waste.</w:t>
      </w:r>
    </w:p>
    <w:p w14:paraId="66BDC135" w14:textId="48A79658" w:rsidR="00052B3F" w:rsidRPr="00586C47" w:rsidRDefault="00052B3F" w:rsidP="00052B3F">
      <w:pPr>
        <w:jc w:val="both"/>
        <w:rPr>
          <w:rFonts w:cs="Times New Roman"/>
          <w:sz w:val="20"/>
          <w:szCs w:val="20"/>
        </w:rPr>
      </w:pPr>
      <w:r w:rsidRPr="00586C47">
        <w:rPr>
          <w:rFonts w:cs="Times New Roman"/>
          <w:b/>
          <w:bCs/>
          <w:sz w:val="20"/>
          <w:szCs w:val="20"/>
        </w:rPr>
        <w:t>Water Quality:</w:t>
      </w:r>
      <w:r w:rsidRPr="00586C47">
        <w:rPr>
          <w:rFonts w:cs="Times New Roman"/>
          <w:sz w:val="20"/>
          <w:szCs w:val="20"/>
        </w:rPr>
        <w:t xml:space="preserve"> A TGS component that addresses the treatment of stormwater runoff to remove pollutants.</w:t>
      </w:r>
    </w:p>
    <w:p w14:paraId="4ABAE110" w14:textId="3B8DC411" w:rsidR="00052B3F" w:rsidRPr="00586C47" w:rsidRDefault="00052B3F" w:rsidP="00052B3F">
      <w:pPr>
        <w:jc w:val="both"/>
        <w:rPr>
          <w:rFonts w:cs="Times New Roman"/>
          <w:sz w:val="20"/>
          <w:szCs w:val="20"/>
        </w:rPr>
      </w:pPr>
      <w:r w:rsidRPr="00586C47">
        <w:rPr>
          <w:rFonts w:cs="Times New Roman"/>
          <w:b/>
          <w:bCs/>
          <w:sz w:val="20"/>
          <w:szCs w:val="20"/>
        </w:rPr>
        <w:t>Water Sense</w:t>
      </w:r>
      <w:r w:rsidRPr="00586C47">
        <w:rPr>
          <w:rFonts w:cs="Times New Roman"/>
          <w:sz w:val="20"/>
          <w:szCs w:val="20"/>
        </w:rPr>
        <w:t>: A U.S. Environmental Protection Agency program that certifies water-efficient products and practices.</w:t>
      </w:r>
    </w:p>
    <w:p w14:paraId="348B7F3E" w14:textId="4E62B385" w:rsidR="00052B3F" w:rsidRPr="00586C47" w:rsidRDefault="00052B3F" w:rsidP="00052B3F">
      <w:pPr>
        <w:jc w:val="both"/>
        <w:rPr>
          <w:rFonts w:cs="Times New Roman"/>
          <w:sz w:val="20"/>
          <w:szCs w:val="20"/>
        </w:rPr>
      </w:pPr>
      <w:r w:rsidRPr="00586C47">
        <w:rPr>
          <w:rFonts w:cs="Times New Roman"/>
          <w:b/>
          <w:bCs/>
          <w:sz w:val="20"/>
          <w:szCs w:val="20"/>
        </w:rPr>
        <w:t>Whole-Building Energy Modeling</w:t>
      </w:r>
      <w:r w:rsidRPr="00586C47">
        <w:rPr>
          <w:rFonts w:cs="Times New Roman"/>
          <w:sz w:val="20"/>
          <w:szCs w:val="20"/>
        </w:rPr>
        <w:t>: A process of using computer simulation to estimate energy use in a building design.</w:t>
      </w:r>
    </w:p>
    <w:p w14:paraId="36F6386E" w14:textId="1E9ED51E" w:rsidR="00052B3F" w:rsidRPr="00586C47" w:rsidRDefault="00052B3F" w:rsidP="00052B3F">
      <w:pPr>
        <w:jc w:val="both"/>
        <w:rPr>
          <w:rFonts w:cs="Times New Roman"/>
          <w:sz w:val="20"/>
          <w:szCs w:val="20"/>
        </w:rPr>
      </w:pPr>
      <w:r w:rsidRPr="00586C47">
        <w:rPr>
          <w:rFonts w:cs="Times New Roman"/>
          <w:b/>
          <w:bCs/>
          <w:sz w:val="20"/>
          <w:szCs w:val="20"/>
        </w:rPr>
        <w:t>Zero Carbon Balance:</w:t>
      </w:r>
      <w:r w:rsidRPr="00586C47">
        <w:rPr>
          <w:rFonts w:cs="Times New Roman"/>
          <w:sz w:val="20"/>
          <w:szCs w:val="20"/>
        </w:rPr>
        <w:t xml:space="preserve"> A requirement of the CAGBC standard where buildings must achieve a balance between carbon emissions and offsets annually.</w:t>
      </w:r>
    </w:p>
    <w:p w14:paraId="1EDF9B12" w14:textId="77777777" w:rsidR="00052B3F" w:rsidRPr="00586C47" w:rsidRDefault="00052B3F" w:rsidP="00052B3F">
      <w:pPr>
        <w:jc w:val="both"/>
        <w:rPr>
          <w:rFonts w:cs="Times New Roman"/>
          <w:sz w:val="20"/>
          <w:szCs w:val="20"/>
        </w:rPr>
      </w:pPr>
      <w:r w:rsidRPr="00586C47">
        <w:rPr>
          <w:rFonts w:cs="Times New Roman"/>
          <w:b/>
          <w:bCs/>
          <w:sz w:val="20"/>
          <w:szCs w:val="20"/>
        </w:rPr>
        <w:t>Zero Energy Performance Index:</w:t>
      </w:r>
      <w:r w:rsidRPr="00586C47">
        <w:rPr>
          <w:rFonts w:cs="Times New Roman"/>
          <w:sz w:val="20"/>
          <w:szCs w:val="20"/>
        </w:rPr>
        <w:t xml:space="preserve"> A LEED pilot credit that rewards projects achieving net zero energy performance.</w:t>
      </w:r>
    </w:p>
    <w:p w14:paraId="034CC37B" w14:textId="77777777" w:rsidR="00052B3F" w:rsidRPr="00D06382" w:rsidRDefault="00052B3F" w:rsidP="00052B3F">
      <w:pPr>
        <w:rPr>
          <w:rFonts w:cs="Times New Roman"/>
        </w:rPr>
      </w:pPr>
    </w:p>
    <w:p w14:paraId="32F3F32B" w14:textId="77777777" w:rsidR="00052B3F" w:rsidRPr="00D06382" w:rsidRDefault="00052B3F" w:rsidP="00052B3F">
      <w:pPr>
        <w:rPr>
          <w:rFonts w:cs="Times New Roman"/>
        </w:rPr>
      </w:pPr>
    </w:p>
    <w:p w14:paraId="53C475EA" w14:textId="77777777" w:rsidR="00052B3F" w:rsidRPr="00D06382" w:rsidRDefault="00052B3F" w:rsidP="00052B3F">
      <w:pPr>
        <w:pStyle w:val="Heading1"/>
        <w:jc w:val="both"/>
        <w:rPr>
          <w:rFonts w:asciiTheme="minorHAnsi" w:hAnsiTheme="minorHAnsi" w:cs="Times New Roman"/>
          <w:sz w:val="22"/>
          <w:szCs w:val="22"/>
        </w:rPr>
      </w:pPr>
    </w:p>
    <w:p w14:paraId="32EC72D1" w14:textId="77777777" w:rsidR="00052B3F" w:rsidRPr="00D06382" w:rsidRDefault="00052B3F" w:rsidP="00052B3F">
      <w:pPr>
        <w:pStyle w:val="Heading1"/>
        <w:jc w:val="both"/>
        <w:rPr>
          <w:rFonts w:asciiTheme="minorHAnsi" w:hAnsiTheme="minorHAnsi" w:cs="Times New Roman"/>
          <w:sz w:val="22"/>
          <w:szCs w:val="22"/>
        </w:rPr>
      </w:pPr>
    </w:p>
    <w:p w14:paraId="33FD897A" w14:textId="77777777" w:rsidR="00052B3F" w:rsidRPr="00D06382" w:rsidRDefault="00052B3F" w:rsidP="00052B3F">
      <w:pPr>
        <w:pStyle w:val="Heading1"/>
        <w:jc w:val="both"/>
        <w:rPr>
          <w:rFonts w:asciiTheme="minorHAnsi" w:hAnsiTheme="minorHAnsi" w:cs="Times New Roman"/>
          <w:sz w:val="22"/>
          <w:szCs w:val="22"/>
        </w:rPr>
      </w:pPr>
    </w:p>
    <w:p w14:paraId="10FE3A15" w14:textId="77777777" w:rsidR="00052B3F" w:rsidRDefault="00052B3F" w:rsidP="00052B3F">
      <w:pPr>
        <w:rPr>
          <w:rFonts w:cs="Times New Roman"/>
        </w:rPr>
      </w:pPr>
    </w:p>
    <w:p w14:paraId="1611A05B" w14:textId="77777777" w:rsidR="0026415C" w:rsidRDefault="0026415C" w:rsidP="00052B3F">
      <w:pPr>
        <w:rPr>
          <w:rFonts w:cs="Times New Roman"/>
        </w:rPr>
      </w:pPr>
    </w:p>
    <w:p w14:paraId="321AEBB2" w14:textId="77777777" w:rsidR="00CE75F6" w:rsidRDefault="00CE75F6" w:rsidP="00052B3F">
      <w:pPr>
        <w:rPr>
          <w:rFonts w:cs="Times New Roman"/>
        </w:rPr>
        <w:sectPr w:rsidR="00CE75F6" w:rsidSect="00CE75F6">
          <w:headerReference w:type="even" r:id="rId14"/>
          <w:headerReference w:type="default" r:id="rId15"/>
          <w:footerReference w:type="default" r:id="rId16"/>
          <w:headerReference w:type="first" r:id="rId17"/>
          <w:type w:val="continuous"/>
          <w:pgSz w:w="12240" w:h="15840" w:code="1"/>
          <w:pgMar w:top="1440" w:right="1440" w:bottom="1440" w:left="1440" w:header="709" w:footer="709" w:gutter="0"/>
          <w:pgNumType w:start="1"/>
          <w:cols w:space="720"/>
          <w:titlePg/>
          <w:docGrid w:linePitch="360"/>
        </w:sectPr>
      </w:pPr>
    </w:p>
    <w:p w14:paraId="153A31D5" w14:textId="77777777" w:rsidR="00180B3C" w:rsidRPr="00F265E9" w:rsidRDefault="00180B3C" w:rsidP="00F265E9">
      <w:pPr>
        <w:pStyle w:val="Heading1"/>
      </w:pPr>
      <w:bookmarkStart w:id="3" w:name="_Toc202742968"/>
      <w:r w:rsidRPr="00F265E9">
        <w:lastRenderedPageBreak/>
        <w:t>Executive Summary</w:t>
      </w:r>
      <w:bookmarkEnd w:id="3"/>
    </w:p>
    <w:p w14:paraId="749675D1" w14:textId="0310B5EF" w:rsidR="00180B3C" w:rsidRPr="00180B3C" w:rsidRDefault="00180B3C" w:rsidP="008773FA">
      <w:pPr>
        <w:jc w:val="both"/>
      </w:pPr>
      <w:r w:rsidRPr="00180B3C">
        <w:t>York University</w:t>
      </w:r>
      <w:r w:rsidR="00027B17">
        <w:t>’</w:t>
      </w:r>
      <w:r w:rsidRPr="00180B3C">
        <w:t>s development of a comprehensive green building strategy represents a critical strategic initiative aligned with its commitment to net zero by 2040 and broader sustainability objectives (York University Sustainability Strategy, 2024). This initiative positions the institution to capitalize on significant opportunities across environmental, social, governance, and economic dimensions. The business case demonstrates compelling benefits including systematic reduction of ecological footprint, enhanced occupant health and productivity through improved indoor environmental quality (MacNaughton et al., 2017</w:t>
      </w:r>
      <w:r w:rsidR="00CF21C8" w:rsidRPr="00180B3C">
        <w:t>) and</w:t>
      </w:r>
      <w:r w:rsidRPr="00180B3C">
        <w:t xml:space="preserve"> strengthened institutional reputation among stakeholders who increasingly prioritize environmental responsibility (Henderson et al., 2017). Alignment with global sustainability trends enhances York</w:t>
      </w:r>
      <w:r w:rsidR="00027B17">
        <w:t>’</w:t>
      </w:r>
      <w:r w:rsidRPr="00180B3C">
        <w:t>s competitiveness in global sustainability rankings, particularly the THE Impact Rankings, while enabling access to new funding streams tied to sustainability performance.</w:t>
      </w:r>
    </w:p>
    <w:p w14:paraId="4B32D108" w14:textId="7A6B117C" w:rsidR="00180B3C" w:rsidRPr="00180B3C" w:rsidRDefault="00C86D66" w:rsidP="008773FA">
      <w:pPr>
        <w:jc w:val="both"/>
      </w:pPr>
      <w:r>
        <w:t>This comprehensive strategy development employed a multi-faceted research approach, combining literature review, case study analysis, and stakeholder consultation to ensure relevance to the context and evidence-based recommendations. The analysis examined leading green building standards, including LEED, BOMA BEST, Passive House, and the Toronto Green Standard, assessing their applicability to higher education settings. Case studies from peer institutions such as the University of Toronto, University of Waterloo, Humber College, and the University of British Columbia offered practical insights into successful implementation strategies. Consultations with York University</w:t>
      </w:r>
      <w:r w:rsidR="00027B17">
        <w:t>’</w:t>
      </w:r>
      <w:r>
        <w:t>s Energy and Buildings Working Group ensured alignment with institutional priorities and operational realities.</w:t>
      </w:r>
    </w:p>
    <w:p w14:paraId="7789EE5A" w14:textId="7E7600FA" w:rsidR="00180B3C" w:rsidRPr="00180B3C" w:rsidRDefault="00465E6B" w:rsidP="008773FA">
      <w:pPr>
        <w:jc w:val="both"/>
      </w:pPr>
      <w:r>
        <w:t>The proposed York University Net Zero Building Strategy is a tailored framework aligned with global standards and addressing York</w:t>
      </w:r>
      <w:r w:rsidR="00027B17">
        <w:t>’</w:t>
      </w:r>
      <w:r>
        <w:t>s specific challenges. It covers six focus areas: energy, water, materials, indoor quality, diversity, and resilience. Goals include strict EUI, net-zero carbon, stormwater management, and accessibility. The framework combines rigorous standards with opportunities for infrastructure upgrades and new building exploration stock</w:t>
      </w:r>
      <w:r w:rsidR="00180B3C" w:rsidRPr="00180B3C">
        <w:t>.</w:t>
      </w:r>
    </w:p>
    <w:p w14:paraId="0189F9B8" w14:textId="77777777" w:rsidR="00180B3C" w:rsidRPr="00180B3C" w:rsidRDefault="00180B3C" w:rsidP="008773FA">
      <w:pPr>
        <w:jc w:val="both"/>
      </w:pPr>
      <w:r w:rsidRPr="00180B3C">
        <w:t>The strategy outlines a three-phase, over-10-year plan. Phase 1 emphasizes policy adoption, governance, and capacity building, including formalizing the Net Zero Building Standard and establishing a Green Building Advisory Committee. Phase 2 tests the standard through high-profile new constructions and retrofits of various types, using performance-based procurement and monitoring. Phase 3 involves rolling out the standard across campus, deploying renewable energy, and improving building performance optimization.</w:t>
      </w:r>
    </w:p>
    <w:p w14:paraId="253DC776" w14:textId="77777777" w:rsidR="00180B3C" w:rsidRPr="00180B3C" w:rsidRDefault="00180B3C" w:rsidP="008773FA">
      <w:pPr>
        <w:jc w:val="both"/>
      </w:pPr>
      <w:r w:rsidRPr="00180B3C">
        <w:t>Key implementation strategies include the establishment of a Green Building Advisory Committee, the creation of a Green Revolving Fund modelled after successful peer programs, comprehensive training programs for internal stakeholders, and integration with academic programs. Critical timeline targets encompass achieving net zero for all new construction, implementing deep energy retrofits for 50% of existing building stock, and positioning York University as a recognized leader in sustainable campus development globally.</w:t>
      </w:r>
    </w:p>
    <w:p w14:paraId="4E19B583" w14:textId="64E099D6" w:rsidR="00180B3C" w:rsidRPr="00180B3C" w:rsidRDefault="00180B3C" w:rsidP="008773FA">
      <w:pPr>
        <w:jc w:val="both"/>
      </w:pPr>
      <w:r w:rsidRPr="00180B3C">
        <w:lastRenderedPageBreak/>
        <w:t>The financial strategy centers on a Green Revolving Fund model similar to the University of Toronto</w:t>
      </w:r>
      <w:r w:rsidR="00027B17">
        <w:t>’</w:t>
      </w:r>
      <w:r w:rsidRPr="00180B3C">
        <w:t>s approach, enabling energy savings reinvestment into further efficiency improvements. Innovative financing mechanisms, including green bonds, alumni donations, and performance-based contracts, provide diversified funding sources. The approach emphasizes long-term operational savings and life-cycle cost benefits through holistic building performance optimization, while enhanced competitiveness for research funding and partnerships.</w:t>
      </w:r>
    </w:p>
    <w:p w14:paraId="4B55380C" w14:textId="53896FF2" w:rsidR="00180B3C" w:rsidRPr="00180B3C" w:rsidRDefault="00180B3C" w:rsidP="008773FA">
      <w:pPr>
        <w:jc w:val="both"/>
      </w:pPr>
      <w:r w:rsidRPr="00180B3C">
        <w:t>A comprehensive monitoring framework tracks progress through key performance indicators such as Energy Use Intensity (EUI), Greenhouse Gas Intensity (GHGI), renewable energy generation capacity</w:t>
      </w:r>
      <w:r w:rsidR="005C777F">
        <w:t>, etc</w:t>
      </w:r>
      <w:r w:rsidRPr="00180B3C">
        <w:t>. The system aligns with the STARS reporting framework developed by AASHE, enabling benchmarking against peer institutions and supporting York</w:t>
      </w:r>
      <w:r w:rsidR="00027B17">
        <w:t>’</w:t>
      </w:r>
      <w:r w:rsidRPr="00180B3C">
        <w:t>s participation in globally recognised sustainability assessments. Annual public reporting and third-party verification ensure accountability and credibility, while continuous improvement processes, including post-occupancy evaluations, drive ongoing enhancement of sustainability outcomes.</w:t>
      </w:r>
    </w:p>
    <w:p w14:paraId="060E3821" w14:textId="0B085494" w:rsidR="00527FBF" w:rsidRPr="00180B3C" w:rsidRDefault="00180B3C" w:rsidP="008773FA">
      <w:pPr>
        <w:jc w:val="both"/>
      </w:pPr>
      <w:r w:rsidRPr="00180B3C">
        <w:t>This</w:t>
      </w:r>
      <w:r w:rsidR="00316C1B">
        <w:t xml:space="preserve"> </w:t>
      </w:r>
      <w:r w:rsidR="00D3604A">
        <w:t xml:space="preserve">proposed strategy </w:t>
      </w:r>
      <w:r w:rsidRPr="00180B3C">
        <w:t>positions York University to lead in sustainable campus development while advancing its academic mission by integrating sustainability principles into research, teaching, and operations. York University is at a key moment to establish itself as a global leader in sustainable higher education through the implementation of this comprehensive green building strategy, delivering environmental, social, and economic benefits that enhance institutional excellence and societal impact.</w:t>
      </w:r>
    </w:p>
    <w:p w14:paraId="4E84E647" w14:textId="77777777" w:rsidR="00180B3C" w:rsidRDefault="00180B3C" w:rsidP="0004399B">
      <w:pPr>
        <w:pStyle w:val="Heading1"/>
        <w:jc w:val="both"/>
        <w:rPr>
          <w:rFonts w:asciiTheme="minorHAnsi" w:hAnsiTheme="minorHAnsi" w:cs="Times New Roman"/>
          <w:sz w:val="22"/>
          <w:szCs w:val="22"/>
        </w:rPr>
      </w:pPr>
    </w:p>
    <w:p w14:paraId="4BC14A46" w14:textId="77777777" w:rsidR="00180B3C" w:rsidRDefault="00180B3C" w:rsidP="0004399B">
      <w:pPr>
        <w:pStyle w:val="Heading1"/>
        <w:jc w:val="both"/>
        <w:rPr>
          <w:rFonts w:asciiTheme="minorHAnsi" w:hAnsiTheme="minorHAnsi" w:cs="Times New Roman"/>
          <w:sz w:val="22"/>
          <w:szCs w:val="22"/>
        </w:rPr>
      </w:pPr>
    </w:p>
    <w:p w14:paraId="511F985D" w14:textId="77777777" w:rsidR="00180B3C" w:rsidRDefault="00180B3C" w:rsidP="0004399B">
      <w:pPr>
        <w:pStyle w:val="Heading1"/>
        <w:jc w:val="both"/>
        <w:rPr>
          <w:rFonts w:asciiTheme="minorHAnsi" w:hAnsiTheme="minorHAnsi" w:cs="Times New Roman"/>
          <w:sz w:val="22"/>
          <w:szCs w:val="22"/>
        </w:rPr>
      </w:pPr>
    </w:p>
    <w:p w14:paraId="5A68CC8C" w14:textId="77777777" w:rsidR="00180B3C" w:rsidRDefault="00180B3C" w:rsidP="0004399B">
      <w:pPr>
        <w:pStyle w:val="Heading1"/>
        <w:jc w:val="both"/>
        <w:rPr>
          <w:rFonts w:asciiTheme="minorHAnsi" w:hAnsiTheme="minorHAnsi" w:cs="Times New Roman"/>
          <w:sz w:val="22"/>
          <w:szCs w:val="22"/>
        </w:rPr>
      </w:pPr>
    </w:p>
    <w:p w14:paraId="0B662DD9" w14:textId="77777777" w:rsidR="00180B3C" w:rsidRDefault="00180B3C" w:rsidP="0004399B">
      <w:pPr>
        <w:pStyle w:val="Heading1"/>
        <w:jc w:val="both"/>
        <w:rPr>
          <w:rFonts w:asciiTheme="minorHAnsi" w:hAnsiTheme="minorHAnsi" w:cs="Times New Roman"/>
          <w:sz w:val="22"/>
          <w:szCs w:val="22"/>
        </w:rPr>
      </w:pPr>
    </w:p>
    <w:p w14:paraId="44089550" w14:textId="77777777" w:rsidR="00465E6B" w:rsidRDefault="00465E6B" w:rsidP="00465E6B"/>
    <w:p w14:paraId="10049B97" w14:textId="77777777" w:rsidR="00465E6B" w:rsidRDefault="00465E6B" w:rsidP="00465E6B"/>
    <w:p w14:paraId="577BE2A2" w14:textId="77777777" w:rsidR="00465E6B" w:rsidRPr="00465E6B" w:rsidRDefault="00465E6B" w:rsidP="00465E6B"/>
    <w:p w14:paraId="4E15F7C8" w14:textId="77777777" w:rsidR="00D3604A" w:rsidRPr="00D3604A" w:rsidRDefault="00D3604A" w:rsidP="00D3604A"/>
    <w:p w14:paraId="177947DD" w14:textId="017BF4AC" w:rsidR="00052B3F" w:rsidRPr="00F265E9" w:rsidRDefault="00052B3F" w:rsidP="00F265E9">
      <w:pPr>
        <w:pStyle w:val="Heading1"/>
      </w:pPr>
      <w:bookmarkStart w:id="4" w:name="_Toc202742969"/>
      <w:r w:rsidRPr="00F265E9">
        <w:lastRenderedPageBreak/>
        <w:t>Introduction</w:t>
      </w:r>
      <w:bookmarkEnd w:id="4"/>
    </w:p>
    <w:p w14:paraId="3B025949" w14:textId="228017EB" w:rsidR="00052B3F" w:rsidRPr="00D06382" w:rsidRDefault="00052B3F" w:rsidP="00052B3F">
      <w:pPr>
        <w:jc w:val="both"/>
        <w:rPr>
          <w:rFonts w:cs="Times New Roman"/>
        </w:rPr>
      </w:pPr>
      <w:r w:rsidRPr="00D06382">
        <w:rPr>
          <w:rFonts w:cs="Times New Roman"/>
        </w:rPr>
        <w:t>York University is embarking on developing a comprehensive green building strategy to align its infrastructure with its sustainability goals and commitments. This initiative comes at a critical juncture as higher education institutions globally recognize their role in addressing climate change and environmental degradation through their built environments (Filho et al., 2019a). Green building strategies in universities can significantly reduce energy consumption, minimize carbon emissions, enhance occupant well-being, and serve as living laboratories for sustainability education and research (Tan et al., 2014).</w:t>
      </w:r>
    </w:p>
    <w:p w14:paraId="709E713B" w14:textId="1E53BAAD" w:rsidR="00052B3F" w:rsidRPr="00D06382" w:rsidRDefault="00052B3F" w:rsidP="00052B3F">
      <w:pPr>
        <w:jc w:val="both"/>
        <w:rPr>
          <w:rFonts w:cs="Times New Roman"/>
        </w:rPr>
      </w:pPr>
      <w:r w:rsidRPr="00D06382">
        <w:rPr>
          <w:rFonts w:cs="Times New Roman"/>
        </w:rPr>
        <w:t xml:space="preserve">York University has already demonstrated leadership in sustainability through its Sustainability Strategy and commitment to </w:t>
      </w:r>
      <w:r w:rsidR="00193864">
        <w:rPr>
          <w:rFonts w:cs="Times New Roman"/>
        </w:rPr>
        <w:t>net zero</w:t>
      </w:r>
      <w:r w:rsidRPr="00D06382">
        <w:rPr>
          <w:rFonts w:cs="Times New Roman"/>
        </w:rPr>
        <w:t xml:space="preserve"> by 20</w:t>
      </w:r>
      <w:r w:rsidR="00A235CA">
        <w:rPr>
          <w:rFonts w:cs="Times New Roman"/>
        </w:rPr>
        <w:t>3</w:t>
      </w:r>
      <w:r w:rsidRPr="00D06382">
        <w:rPr>
          <w:rFonts w:cs="Times New Roman"/>
        </w:rPr>
        <w:t>9 (York University, 2023). However, the development of a dedicated green building strategy represents an opportunity to systematically integrate sustainability principles into the planning, design, construction, and operation of campus facilities. This approach can yield multiple benefits, including reduced long-term operational costs, improved environmental performance, enhanced learning outcomes, and alignment with York</w:t>
      </w:r>
      <w:r w:rsidR="00027B17">
        <w:rPr>
          <w:rFonts w:cs="Times New Roman"/>
        </w:rPr>
        <w:t>’</w:t>
      </w:r>
      <w:r w:rsidRPr="00D06382">
        <w:rPr>
          <w:rFonts w:cs="Times New Roman"/>
        </w:rPr>
        <w:t>s academic mission and values (Khoshbakht et al., 2019).</w:t>
      </w:r>
    </w:p>
    <w:p w14:paraId="642B5A76" w14:textId="4983DCA2" w:rsidR="00052B3F" w:rsidRPr="00D06382" w:rsidRDefault="00052B3F" w:rsidP="00052B3F">
      <w:pPr>
        <w:jc w:val="both"/>
        <w:rPr>
          <w:rFonts w:cs="Times New Roman"/>
        </w:rPr>
      </w:pPr>
      <w:r w:rsidRPr="00D06382">
        <w:rPr>
          <w:rFonts w:cs="Times New Roman"/>
        </w:rPr>
        <w:t>Thus, this report aims to inform the development of York University</w:t>
      </w:r>
      <w:r w:rsidR="00027B17">
        <w:rPr>
          <w:rFonts w:cs="Times New Roman"/>
        </w:rPr>
        <w:t>’</w:t>
      </w:r>
      <w:r w:rsidRPr="00D06382">
        <w:rPr>
          <w:rFonts w:cs="Times New Roman"/>
        </w:rPr>
        <w:t>s green building strategy by examining best practices from peer institutions, analyzing relevant green building standards and policy frameworks, and identifying key opportunities specific to York University</w:t>
      </w:r>
      <w:r w:rsidR="00027B17">
        <w:rPr>
          <w:rFonts w:cs="Times New Roman"/>
        </w:rPr>
        <w:t>’</w:t>
      </w:r>
      <w:r w:rsidRPr="00D06382">
        <w:rPr>
          <w:rFonts w:cs="Times New Roman"/>
        </w:rPr>
        <w:t>s context. By synthesizing this information, the report aims to provide evidence-based recommendations that will guide the university in creating a robust, innovative, and implementable green building strategy that advances its sustainability objectives and reinforces its position as a leader in environmental stewardship in higher education.</w:t>
      </w:r>
    </w:p>
    <w:p w14:paraId="6E3A4A10" w14:textId="77777777" w:rsidR="00052B3F" w:rsidRPr="00885088" w:rsidRDefault="00052B3F" w:rsidP="00885088">
      <w:pPr>
        <w:pStyle w:val="Heading2"/>
      </w:pPr>
      <w:bookmarkStart w:id="5" w:name="_Toc202742970"/>
      <w:r w:rsidRPr="00885088">
        <w:t>Business Case for Bespoke Building Strategy</w:t>
      </w:r>
      <w:bookmarkEnd w:id="5"/>
    </w:p>
    <w:p w14:paraId="035211A7" w14:textId="308891C6" w:rsidR="00052B3F" w:rsidRPr="00D06382" w:rsidRDefault="00052B3F" w:rsidP="00052B3F">
      <w:pPr>
        <w:jc w:val="both"/>
        <w:rPr>
          <w:rFonts w:cs="Times New Roman"/>
        </w:rPr>
      </w:pPr>
      <w:r w:rsidRPr="00D06382">
        <w:rPr>
          <w:rFonts w:cs="Times New Roman"/>
        </w:rPr>
        <w:t>Developing a comprehensive green building strategy tailored to York University</w:t>
      </w:r>
      <w:r w:rsidR="00027B17">
        <w:rPr>
          <w:rFonts w:cs="Times New Roman"/>
        </w:rPr>
        <w:t>’</w:t>
      </w:r>
      <w:r w:rsidRPr="00D06382">
        <w:rPr>
          <w:rFonts w:cs="Times New Roman"/>
        </w:rPr>
        <w:t>s specific context presents a compelling business case with multiple benefits across environmental, social, and governance (ESG) dimensions.</w:t>
      </w:r>
    </w:p>
    <w:p w14:paraId="7E7BE292" w14:textId="1E2EFAF1" w:rsidR="00052B3F" w:rsidRPr="00D06382" w:rsidRDefault="00052B3F" w:rsidP="00052B3F">
      <w:pPr>
        <w:jc w:val="both"/>
        <w:rPr>
          <w:rFonts w:cs="Times New Roman"/>
        </w:rPr>
      </w:pPr>
      <w:r w:rsidRPr="00D06382">
        <w:rPr>
          <w:rFonts w:cs="Times New Roman"/>
        </w:rPr>
        <w:t xml:space="preserve">From an environmental perspective, a bespoke green building strategy allows York University to systematically reduce its ecological footprint and greenhouse gas emissions in alignment with its existing sustainability commitments. According to Filho et al. (2019b), universities implementing comprehensive green building strategies can significantly reduce energy use, water consumption, and waste generation across their campus operations. For York University specifically, this strategy would support progress toward its goal of </w:t>
      </w:r>
      <w:r w:rsidR="00193864">
        <w:rPr>
          <w:rFonts w:cs="Times New Roman"/>
        </w:rPr>
        <w:t>net zero</w:t>
      </w:r>
      <w:r w:rsidRPr="00D06382">
        <w:rPr>
          <w:rFonts w:cs="Times New Roman"/>
        </w:rPr>
        <w:t xml:space="preserve"> by 2040 (York University, 2024) while also addressing other environmental impacts.</w:t>
      </w:r>
    </w:p>
    <w:p w14:paraId="14F00354" w14:textId="055A2AA1" w:rsidR="00052B3F" w:rsidRPr="00D06382" w:rsidRDefault="00052B3F" w:rsidP="00052B3F">
      <w:pPr>
        <w:jc w:val="both"/>
        <w:rPr>
          <w:rFonts w:cs="Times New Roman"/>
        </w:rPr>
      </w:pPr>
      <w:r w:rsidRPr="00D06382">
        <w:rPr>
          <w:rFonts w:cs="Times New Roman"/>
        </w:rPr>
        <w:t xml:space="preserve">The social benefits of a customized green building approach are equally important. Green buildings have been shown to enhance occupant health, wellbeing, and productivity through improved indoor environmental quality (MacNaughton et al., 2017). For a university setting, this can translate to better learning outcomes, increased student satisfaction, and enhanced </w:t>
      </w:r>
      <w:r w:rsidRPr="00D06382">
        <w:rPr>
          <w:rFonts w:cs="Times New Roman"/>
        </w:rPr>
        <w:lastRenderedPageBreak/>
        <w:t>workplace conditions for faculty and staff. Moreover, by visibly demonstrating sustainability leadership through its built environment, York University can strengthen its reputation and appeal to prospective students, faculty, and partners who increasingly prioritize environmental and social responsibility in their decision-making (Henderson et al., 2017).</w:t>
      </w:r>
    </w:p>
    <w:p w14:paraId="1662C51C" w14:textId="6F2214C3" w:rsidR="00052B3F" w:rsidRPr="00D06382" w:rsidRDefault="00052B3F" w:rsidP="00052B3F">
      <w:pPr>
        <w:jc w:val="both"/>
        <w:rPr>
          <w:rFonts w:cs="Times New Roman"/>
        </w:rPr>
      </w:pPr>
      <w:r w:rsidRPr="00D06382">
        <w:rPr>
          <w:rFonts w:cs="Times New Roman"/>
        </w:rPr>
        <w:t>From a governance standpoint, a bespoke green building strategy enables York University to proactively manage risks and opportunities related to climate change and evolving regulatory landscapes. As Vaughter et al. (2016) noted, Canadian universities with robust sustainability policies and governance structures are better positioned to navigate complex sustainability challenges. By establishing clear standards and processes for sustainable building design, construction, and operations, York University can ensure consistently high performance across its building portfolio while also facilitating more effective decision-making and resource allocation.</w:t>
      </w:r>
    </w:p>
    <w:p w14:paraId="6C756DC7" w14:textId="0983787A" w:rsidR="00052B3F" w:rsidRPr="00D06382" w:rsidRDefault="00052B3F" w:rsidP="00052B3F">
      <w:pPr>
        <w:jc w:val="both"/>
        <w:rPr>
          <w:rFonts w:cs="Times New Roman"/>
        </w:rPr>
      </w:pPr>
      <w:r w:rsidRPr="00D06382">
        <w:rPr>
          <w:rFonts w:cs="Times New Roman"/>
        </w:rPr>
        <w:t>The financial case for a tailored green building strategy is also compelling. While green buildings may have higher upfront costs, they typically result in significant operational savings over time through reduced energy and water consumption (Smit and Toit, 2015). Additionally, by taking a holistic, long-term approach to building performance, York University can optimize life-cycle costs and potentially access new funding streams tied to sustainability performance. The University of Toronto, for example, established an $8.5 million revolving fund for energy conservation projects, allowing energy savings to be reinvested in further efficiency improvements (University of Toronto, 2019a).</w:t>
      </w:r>
    </w:p>
    <w:p w14:paraId="7CB49070" w14:textId="32CB1804" w:rsidR="00052B3F" w:rsidRPr="00D06382" w:rsidRDefault="00052B3F" w:rsidP="00052B3F">
      <w:pPr>
        <w:jc w:val="both"/>
        <w:rPr>
          <w:rFonts w:cs="Times New Roman"/>
        </w:rPr>
      </w:pPr>
      <w:r w:rsidRPr="00D06382">
        <w:rPr>
          <w:rFonts w:cs="Times New Roman"/>
        </w:rPr>
        <w:t>Beyond direct financial benefits, a bespoke green building strategy can enhance York University</w:t>
      </w:r>
      <w:r w:rsidR="00027B17">
        <w:rPr>
          <w:rFonts w:cs="Times New Roman"/>
        </w:rPr>
        <w:t>’</w:t>
      </w:r>
      <w:r w:rsidRPr="00D06382">
        <w:rPr>
          <w:rFonts w:cs="Times New Roman"/>
        </w:rPr>
        <w:t>s competitiveness in attracting research funding, partnerships, and donations. As sustainability becomes increasingly central to academic discourse and societal priorities, universities demonstrating leadership in this area are better positioned to secure resources and collaborations (Lozano et al., 2015). For instance, the University of British Columbia</w:t>
      </w:r>
      <w:r w:rsidR="00027B17">
        <w:rPr>
          <w:rFonts w:cs="Times New Roman"/>
        </w:rPr>
        <w:t>’</w:t>
      </w:r>
      <w:r w:rsidRPr="00D06382">
        <w:rPr>
          <w:rFonts w:cs="Times New Roman"/>
        </w:rPr>
        <w:t xml:space="preserve">s </w:t>
      </w:r>
      <w:r w:rsidR="00A8627F">
        <w:rPr>
          <w:rFonts w:cs="Times New Roman"/>
        </w:rPr>
        <w:t>“</w:t>
      </w:r>
      <w:r w:rsidRPr="00D06382">
        <w:rPr>
          <w:rFonts w:cs="Times New Roman"/>
        </w:rPr>
        <w:t>living laboratory</w:t>
      </w:r>
      <w:r w:rsidR="00A8627F">
        <w:rPr>
          <w:rFonts w:cs="Times New Roman"/>
        </w:rPr>
        <w:t>”</w:t>
      </w:r>
      <w:r w:rsidRPr="00D06382">
        <w:rPr>
          <w:rFonts w:cs="Times New Roman"/>
        </w:rPr>
        <w:t xml:space="preserve"> approach to sustainability has facilitated numerous research partnerships and helped position the university as a leader in sustainability innovation (UBC, 2014).</w:t>
      </w:r>
    </w:p>
    <w:p w14:paraId="0589D9D3" w14:textId="6E9B4F0D" w:rsidR="00052B3F" w:rsidRPr="00D06382" w:rsidRDefault="00052B3F" w:rsidP="00052B3F">
      <w:pPr>
        <w:jc w:val="both"/>
        <w:rPr>
          <w:rFonts w:cs="Times New Roman"/>
        </w:rPr>
      </w:pPr>
      <w:r w:rsidRPr="00D06382">
        <w:rPr>
          <w:rFonts w:cs="Times New Roman"/>
        </w:rPr>
        <w:t>Furthermore, global assessment systems like the Times Higher Education (THE) Impact Rankings now evaluate universities</w:t>
      </w:r>
      <w:r w:rsidR="00027B17">
        <w:rPr>
          <w:rFonts w:cs="Times New Roman"/>
        </w:rPr>
        <w:t>’</w:t>
      </w:r>
      <w:r w:rsidRPr="00D06382">
        <w:rPr>
          <w:rFonts w:cs="Times New Roman"/>
        </w:rPr>
        <w:t xml:space="preserve"> contributions to sustainable development, further emphasizing the importance of comprehensive sustainability strategies in higher education.</w:t>
      </w:r>
    </w:p>
    <w:p w14:paraId="14762B41" w14:textId="1567798B" w:rsidR="00052B3F" w:rsidRPr="00D06382" w:rsidRDefault="00052B3F" w:rsidP="00052B3F">
      <w:pPr>
        <w:jc w:val="both"/>
        <w:rPr>
          <w:rFonts w:cs="Times New Roman"/>
        </w:rPr>
      </w:pPr>
      <w:r w:rsidRPr="00D06382">
        <w:rPr>
          <w:rFonts w:cs="Times New Roman"/>
        </w:rPr>
        <w:t>In summary, developing a bespoke green building strategy for York University presents a strong business case across environmental, social, governance, and economic dimensions. It can help maximize the benefits of sustainable building practices while reinforcing the university</w:t>
      </w:r>
      <w:r w:rsidR="00027B17">
        <w:rPr>
          <w:rFonts w:cs="Times New Roman"/>
        </w:rPr>
        <w:t>’</w:t>
      </w:r>
      <w:r w:rsidRPr="00D06382">
        <w:rPr>
          <w:rFonts w:cs="Times New Roman"/>
        </w:rPr>
        <w:t>s position as a leader in environmental stewardship within higher education.</w:t>
      </w:r>
    </w:p>
    <w:p w14:paraId="1466078D" w14:textId="77777777" w:rsidR="00052B3F" w:rsidRPr="00D06382" w:rsidRDefault="00052B3F" w:rsidP="00052B3F">
      <w:pPr>
        <w:jc w:val="both"/>
        <w:rPr>
          <w:rFonts w:cs="Times New Roman"/>
        </w:rPr>
      </w:pPr>
    </w:p>
    <w:p w14:paraId="514889A2" w14:textId="77777777" w:rsidR="0004399B" w:rsidRPr="00D06382" w:rsidRDefault="0004399B" w:rsidP="00052B3F">
      <w:pPr>
        <w:jc w:val="both"/>
        <w:rPr>
          <w:rFonts w:cs="Times New Roman"/>
        </w:rPr>
      </w:pPr>
    </w:p>
    <w:p w14:paraId="0CA60266" w14:textId="339A5B82" w:rsidR="00052B3F" w:rsidRPr="00FD39A7" w:rsidRDefault="00052B3F" w:rsidP="00FD39A7">
      <w:pPr>
        <w:pStyle w:val="Heading1"/>
      </w:pPr>
      <w:bookmarkStart w:id="6" w:name="_Toc202742971"/>
      <w:r w:rsidRPr="00FD39A7">
        <w:lastRenderedPageBreak/>
        <w:t>Literature Review</w:t>
      </w:r>
      <w:bookmarkEnd w:id="6"/>
    </w:p>
    <w:p w14:paraId="548C94C9" w14:textId="6B983BA2" w:rsidR="009B4075" w:rsidRPr="00D06382" w:rsidRDefault="00052B3F" w:rsidP="00052B3F">
      <w:pPr>
        <w:jc w:val="both"/>
        <w:rPr>
          <w:rFonts w:cs="Times New Roman"/>
        </w:rPr>
      </w:pPr>
      <w:r w:rsidRPr="00D06382">
        <w:rPr>
          <w:rFonts w:cs="Times New Roman"/>
        </w:rPr>
        <w:t>The development of a green building strategy for York University requires a comprehensive review of existing literature on sustainable building practices, policies, and frameworks in higher education institutions. This literature review examines key themes relevant to implementing green building initiatives on university campuses, including sustainability strategies, green building standards, energy efficiency measures, and stakeholder engagement approaches. The review synthesizes findings from academic studies, institutional reports, and industry guidelines to provide a foundation for York University</w:t>
      </w:r>
      <w:r w:rsidR="00027B17">
        <w:rPr>
          <w:rFonts w:cs="Times New Roman"/>
        </w:rPr>
        <w:t>’</w:t>
      </w:r>
      <w:r w:rsidRPr="00D06382">
        <w:rPr>
          <w:rFonts w:cs="Times New Roman"/>
        </w:rPr>
        <w:t>s green building strategy development.</w:t>
      </w:r>
    </w:p>
    <w:p w14:paraId="7792B8E1" w14:textId="43B55109" w:rsidR="00052B3F" w:rsidRPr="00FD39A7" w:rsidRDefault="00052B3F" w:rsidP="00FD39A7">
      <w:pPr>
        <w:pStyle w:val="Heading2"/>
      </w:pPr>
      <w:bookmarkStart w:id="7" w:name="_Toc202742972"/>
      <w:r w:rsidRPr="00FD39A7">
        <w:t>Green Building Standards and Certification Systems</w:t>
      </w:r>
      <w:bookmarkEnd w:id="7"/>
    </w:p>
    <w:p w14:paraId="676EF616" w14:textId="7DF29AFD" w:rsidR="00052B3F" w:rsidRPr="00D06382" w:rsidRDefault="00052B3F" w:rsidP="00052B3F">
      <w:pPr>
        <w:jc w:val="both"/>
        <w:rPr>
          <w:rFonts w:cs="Times New Roman"/>
        </w:rPr>
      </w:pPr>
      <w:r w:rsidRPr="00D06382">
        <w:rPr>
          <w:rFonts w:cs="Times New Roman"/>
        </w:rPr>
        <w:t>Green building standards and certification systems provide frameworks for designing, constructing, and operating sustainable buildings. The most widely used systems globally include Leadership in Energy and Environmental Design (LEED), Building Research Establishment Environmental Assessment Method (BREEAM), and Green Globes (Doan et al., 2017). In Canada, several universities</w:t>
      </w:r>
      <w:r w:rsidRPr="00D06382">
        <w:rPr>
          <w:rStyle w:val="FootnoteReference"/>
          <w:rFonts w:cs="Times New Roman"/>
        </w:rPr>
        <w:footnoteReference w:id="1"/>
      </w:r>
      <w:r w:rsidRPr="00D06382">
        <w:rPr>
          <w:rFonts w:cs="Times New Roman"/>
        </w:rPr>
        <w:t xml:space="preserve"> have adopted LEED standards for new construction and major renovations (CaGBC, 2024).</w:t>
      </w:r>
    </w:p>
    <w:p w14:paraId="021CEA5B" w14:textId="5F30E46E" w:rsidR="00052B3F" w:rsidRPr="00D06382" w:rsidRDefault="00052B3F" w:rsidP="00052B3F">
      <w:pPr>
        <w:jc w:val="both"/>
        <w:rPr>
          <w:rFonts w:cs="Times New Roman"/>
        </w:rPr>
      </w:pPr>
      <w:r w:rsidRPr="00D06382">
        <w:rPr>
          <w:rFonts w:cs="Times New Roman"/>
        </w:rPr>
        <w:t>A comparative analysis by Mattoni et al. (2018) of LEED, BREEAM, and other international rating systems found that while specific criteria varied, common elements included energy efficiency, water conservation, sustainable materials, and indoor environmental quality. The authors noted that certification systems are evolving to place greater emphasis on building performance and occupant well-being.</w:t>
      </w:r>
    </w:p>
    <w:p w14:paraId="7387B5F8" w14:textId="71B82800" w:rsidR="00052B3F" w:rsidRPr="00D06382" w:rsidRDefault="00052B3F" w:rsidP="00052B3F">
      <w:pPr>
        <w:jc w:val="both"/>
        <w:rPr>
          <w:rFonts w:cs="Times New Roman"/>
        </w:rPr>
      </w:pPr>
      <w:r w:rsidRPr="00D06382">
        <w:rPr>
          <w:rFonts w:cs="Times New Roman"/>
        </w:rPr>
        <w:t>Several studies have examined the impacts of green building certification on university campuses. Chance (2012) found that LEED-certified buildings on U.S. campuses demonstrated 24 to 50% energy savings compared to conventional buildings while also providing valuable learning opportunities for students. However, Coleman et al. (2018) caution that certification alone does not guarantee optimal building performance, emphasizing the need for ongoing commissioning and occupant engagement.</w:t>
      </w:r>
    </w:p>
    <w:p w14:paraId="385CD245" w14:textId="77777777" w:rsidR="00052B3F" w:rsidRPr="00D06382" w:rsidRDefault="00052B3F" w:rsidP="00052B3F">
      <w:pPr>
        <w:jc w:val="both"/>
        <w:rPr>
          <w:rFonts w:cs="Times New Roman"/>
        </w:rPr>
      </w:pPr>
      <w:r w:rsidRPr="00D06382">
        <w:rPr>
          <w:rFonts w:cs="Times New Roman"/>
        </w:rPr>
        <w:t>The Toronto Green Standard (TGS) is a local framework that York University has to incorporate into its green building strategy because of its location within Toronto. The TGS sets progressive performance targets for new construction in areas such as energy efficiency, greenhouse gas emissions, and water conservation (City of Toronto, 2021), which are regularly reviewed and updated. While developed for the municipal context (</w:t>
      </w:r>
      <w:r w:rsidRPr="00D06382">
        <w:rPr>
          <w:rFonts w:cs="Times New Roman"/>
          <w:lang w:val="en-US"/>
        </w:rPr>
        <w:t>residential and commercial buildings)</w:t>
      </w:r>
      <w:r w:rsidRPr="00D06382">
        <w:rPr>
          <w:rFonts w:cs="Times New Roman"/>
        </w:rPr>
        <w:t>, elements of the TGS could be adapted for university applications.</w:t>
      </w:r>
    </w:p>
    <w:p w14:paraId="5BFB7F8D" w14:textId="77777777" w:rsidR="00052B3F" w:rsidRPr="00D06382" w:rsidRDefault="00052B3F" w:rsidP="00052B3F">
      <w:pPr>
        <w:jc w:val="both"/>
        <w:rPr>
          <w:rFonts w:cs="Times New Roman"/>
        </w:rPr>
      </w:pPr>
    </w:p>
    <w:p w14:paraId="27FA09E3" w14:textId="61140175" w:rsidR="00B96CA6" w:rsidRDefault="00B96CA6" w:rsidP="00B96CA6">
      <w:pPr>
        <w:pStyle w:val="Heading1"/>
        <w:rPr>
          <w:rFonts w:eastAsia="Times New Roman"/>
        </w:rPr>
      </w:pPr>
      <w:bookmarkStart w:id="8" w:name="_Toc202742973"/>
      <w:r w:rsidRPr="00FE1BA9">
        <w:rPr>
          <w:rFonts w:eastAsia="Times New Roman"/>
        </w:rPr>
        <w:lastRenderedPageBreak/>
        <w:t>Health Promotion and Green Building: York University</w:t>
      </w:r>
      <w:r w:rsidR="00027B17">
        <w:rPr>
          <w:rFonts w:eastAsia="Times New Roman"/>
        </w:rPr>
        <w:t>’</w:t>
      </w:r>
      <w:r w:rsidRPr="00FE1BA9">
        <w:rPr>
          <w:rFonts w:eastAsia="Times New Roman"/>
        </w:rPr>
        <w:t>s Okanagan Charter Commitments</w:t>
      </w:r>
      <w:bookmarkEnd w:id="8"/>
      <w:r w:rsidRPr="00FE1BA9">
        <w:rPr>
          <w:rFonts w:eastAsia="Times New Roman"/>
        </w:rPr>
        <w:t xml:space="preserve"> </w:t>
      </w:r>
    </w:p>
    <w:p w14:paraId="1A7C7030" w14:textId="7856E364" w:rsidR="008A2858" w:rsidRPr="008A2858" w:rsidRDefault="008A2858" w:rsidP="008A2858">
      <w:r w:rsidRPr="008A2858">
        <w:t>York University</w:t>
      </w:r>
      <w:r w:rsidR="00027B17">
        <w:t>’</w:t>
      </w:r>
      <w:r w:rsidRPr="008A2858">
        <w:t>s green building strategy serves a</w:t>
      </w:r>
      <w:r w:rsidR="00027B17">
        <w:t>n additional</w:t>
      </w:r>
      <w:r w:rsidRPr="008A2858">
        <w:t xml:space="preserve"> dual purpose: advancing environmental sustainability while fulfilling the university</w:t>
      </w:r>
      <w:r w:rsidR="00027B17">
        <w:t>’</w:t>
      </w:r>
      <w:r w:rsidRPr="008A2858">
        <w:t>s formal health promotion commitments. As an official signatory to the Okanagan Charter since October 2024, York has committed to embed health into all aspects of campus operations, transforming what might otherwise be optional building enhancements into strategic institutional requirements. This commitment, reinforced through the university</w:t>
      </w:r>
      <w:r w:rsidR="00027B17">
        <w:t>’</w:t>
      </w:r>
      <w:r w:rsidRPr="008A2858">
        <w:t>s Well-being Strategy (2024-2030), provides clear business justification for building features that support both environmental and health outcomes.</w:t>
      </w:r>
    </w:p>
    <w:p w14:paraId="32E8B462" w14:textId="77777777" w:rsidR="008A2858" w:rsidRPr="008A2858" w:rsidRDefault="008A2858" w:rsidP="008A2858">
      <w:pPr>
        <w:rPr>
          <w:b/>
          <w:bCs/>
        </w:rPr>
      </w:pPr>
      <w:r w:rsidRPr="008A2858">
        <w:rPr>
          <w:b/>
          <w:bCs/>
        </w:rPr>
        <w:t>From Commitment to Building Requirements</w:t>
      </w:r>
    </w:p>
    <w:p w14:paraId="245CF05D" w14:textId="3DB25634" w:rsidR="008A2858" w:rsidRPr="008A2858" w:rsidRDefault="008A2858" w:rsidP="008A2858">
      <w:r w:rsidRPr="008A2858">
        <w:t>York University</w:t>
      </w:r>
      <w:r w:rsidR="00027B17">
        <w:t>’</w:t>
      </w:r>
      <w:r w:rsidRPr="008A2858">
        <w:t>s Well-being Strategy identifies</w:t>
      </w:r>
      <w:r w:rsidR="00C8560B">
        <w:t xml:space="preserve"> </w:t>
      </w:r>
      <w:r w:rsidR="00A8627F">
        <w:t>“</w:t>
      </w:r>
      <w:r w:rsidRPr="008A2858">
        <w:t>Campus Environment</w:t>
      </w:r>
      <w:r w:rsidR="00A8627F">
        <w:t>”</w:t>
      </w:r>
      <w:r w:rsidRPr="008A2858">
        <w:t xml:space="preserve"> as a critical strategic priority, stating that the campus environment is critical to the well-being of students, employees, faculty and instructors. The strategy explicitly calls for creating a sustainable campus environment rich with well-being spaces and ensuring design standards are in place when creating spaces to consider the impact on well-being of built, living, learning and working environments.</w:t>
      </w:r>
      <w:r w:rsidR="00C8560B">
        <w:t xml:space="preserve"> </w:t>
      </w:r>
      <w:r w:rsidRPr="008A2858">
        <w:t>This directive transforms health considerations from add-on features to fundamental design requirements.</w:t>
      </w:r>
    </w:p>
    <w:p w14:paraId="1C7DF4AE" w14:textId="78006C0D" w:rsidR="008A2858" w:rsidRPr="008A2858" w:rsidRDefault="008A2858" w:rsidP="008A2858">
      <w:r w:rsidRPr="008A2858">
        <w:t>The Okanagan Charter</w:t>
      </w:r>
      <w:r w:rsidR="00027B17">
        <w:t>’</w:t>
      </w:r>
      <w:r w:rsidRPr="008A2858">
        <w:t xml:space="preserve">s </w:t>
      </w:r>
      <w:r w:rsidR="00A8627F">
        <w:t>‘</w:t>
      </w:r>
      <w:r w:rsidRPr="008A2858">
        <w:t>Call to Action 1</w:t>
      </w:r>
      <w:r w:rsidR="00A8627F">
        <w:t>’</w:t>
      </w:r>
      <w:r w:rsidRPr="008A2858">
        <w:t xml:space="preserve"> requires York to </w:t>
      </w:r>
      <w:r w:rsidR="00A8627F">
        <w:t>“</w:t>
      </w:r>
      <w:r w:rsidRPr="008A2858">
        <w:t>create supportive campus environments</w:t>
      </w:r>
      <w:r w:rsidR="00A8627F">
        <w:t>”</w:t>
      </w:r>
      <w:r w:rsidRPr="008A2858">
        <w:t xml:space="preserve"> that function as </w:t>
      </w:r>
      <w:r w:rsidR="00A8627F">
        <w:t>“</w:t>
      </w:r>
      <w:r w:rsidRPr="008A2858">
        <w:t>living laboratories</w:t>
      </w:r>
      <w:r w:rsidR="00A8627F">
        <w:t>”</w:t>
      </w:r>
      <w:r w:rsidRPr="008A2858">
        <w:t xml:space="preserve"> supporting health, well-being, sustainability and resilience. This mandate provides institutional backing for building investments that might otherwise face cost-cutting pressures, repositioning enhanced indoor environmental quality, natural lighting, and accessibility features as necessary infrastructure for meeting Charter obligations.</w:t>
      </w:r>
    </w:p>
    <w:p w14:paraId="27208956" w14:textId="77777777" w:rsidR="008A2858" w:rsidRPr="008A2858" w:rsidRDefault="008A2858" w:rsidP="008A2858">
      <w:pPr>
        <w:rPr>
          <w:b/>
          <w:bCs/>
        </w:rPr>
      </w:pPr>
      <w:r w:rsidRPr="008A2858">
        <w:rPr>
          <w:b/>
          <w:bCs/>
        </w:rPr>
        <w:t>Community-Driven Building Specifications</w:t>
      </w:r>
    </w:p>
    <w:p w14:paraId="26415EB8" w14:textId="1CFA090B" w:rsidR="008A2858" w:rsidRPr="008A2858" w:rsidRDefault="008A2858" w:rsidP="008A2858">
      <w:r w:rsidRPr="008A2858">
        <w:t>Extensive community engagement conducted during York</w:t>
      </w:r>
      <w:r w:rsidR="00027B17">
        <w:t>’</w:t>
      </w:r>
      <w:r w:rsidRPr="008A2858">
        <w:t xml:space="preserve">s Well-being Strategy development revealed specific building-related needs that directly translate into green building requirements. Faculty identified quality issues with </w:t>
      </w:r>
      <w:r w:rsidR="00A8627F">
        <w:t>“</w:t>
      </w:r>
      <w:r w:rsidRPr="008A2858">
        <w:t>office spaces (with specific regard to windows, natural lighting and temperature control)</w:t>
      </w:r>
      <w:r w:rsidR="00A8627F">
        <w:t>”</w:t>
      </w:r>
      <w:r w:rsidRPr="008A2858">
        <w:t xml:space="preserve"> and </w:t>
      </w:r>
      <w:r w:rsidR="00A8627F">
        <w:t>“</w:t>
      </w:r>
      <w:r w:rsidRPr="008A2858">
        <w:t>instructional environment (with specific regard to temperature control, air quality, furniture and technological integrations).</w:t>
      </w:r>
      <w:r w:rsidR="00A8627F">
        <w:t>”</w:t>
      </w:r>
      <w:r w:rsidRPr="008A2858">
        <w:t xml:space="preserve"> Students requested increased </w:t>
      </w:r>
      <w:r w:rsidR="00A8627F">
        <w:t>“</w:t>
      </w:r>
      <w:r w:rsidRPr="008A2858">
        <w:t>quiet semi-private rooms and comfortable lounging areas</w:t>
      </w:r>
      <w:r w:rsidR="00A8627F">
        <w:t>”</w:t>
      </w:r>
      <w:r w:rsidRPr="008A2858">
        <w:t xml:space="preserve"> and improved </w:t>
      </w:r>
      <w:r w:rsidR="00A8627F">
        <w:t>“</w:t>
      </w:r>
      <w:r w:rsidRPr="008A2858">
        <w:t>inclusion of nature in indoor spaces (natural light and windows, plants and green space).</w:t>
      </w:r>
      <w:r w:rsidR="00A8627F">
        <w:t>”</w:t>
      </w:r>
    </w:p>
    <w:p w14:paraId="34DB6E58" w14:textId="77777777" w:rsidR="008A2858" w:rsidRPr="008A2858" w:rsidRDefault="008A2858" w:rsidP="008A2858">
      <w:r w:rsidRPr="008A2858">
        <w:t xml:space="preserve">These community-identified priorities provide clear specifications for building design decisions. Enhanced HVAC systems with individual temperature controls address faculty concerns about thermal comfort while supporting energy efficiency goals. High-performance windows and daylighting strategies respond to requests for natural light while reducing </w:t>
      </w:r>
      <w:r w:rsidRPr="008A2858">
        <w:lastRenderedPageBreak/>
        <w:t>artificial lighting loads. Air quality improvements through enhanced filtration and ventilation systems address both health priorities and energy performance requirements.</w:t>
      </w:r>
    </w:p>
    <w:p w14:paraId="6124F3F8" w14:textId="77777777" w:rsidR="008A2858" w:rsidRPr="008A2858" w:rsidRDefault="008A2858" w:rsidP="008A2858">
      <w:pPr>
        <w:rPr>
          <w:b/>
          <w:bCs/>
        </w:rPr>
      </w:pPr>
      <w:r w:rsidRPr="008A2858">
        <w:rPr>
          <w:b/>
          <w:bCs/>
        </w:rPr>
        <w:t>Evidence-Based Health and Productivity Benefits</w:t>
      </w:r>
    </w:p>
    <w:p w14:paraId="61B04E4E" w14:textId="385C634A" w:rsidR="008A2858" w:rsidRPr="008A2858" w:rsidRDefault="008A2858" w:rsidP="008A2858">
      <w:r w:rsidRPr="008A2858">
        <w:t>Research supporting health-focused building features provides quantifiable justification for building investments. Studies of WELL-certified buildings demonstrate 19% decreases in employee absenteeism and 16% increases in presenteeism, translating to measurable productivity improvements</w:t>
      </w:r>
      <w:r w:rsidR="00AC5A1B">
        <w:t xml:space="preserve"> (Green Building Certification Inc., 2024)</w:t>
      </w:r>
      <w:r w:rsidRPr="008A2858">
        <w:t xml:space="preserve">. Buildings with enhanced indoor environmental quality </w:t>
      </w:r>
      <w:r w:rsidR="00AC5A1B">
        <w:t>exhibit</w:t>
      </w:r>
      <w:r w:rsidRPr="008A2858">
        <w:t xml:space="preserve"> 26% higher cognitive function scores among occupants and 30% fewer s</w:t>
      </w:r>
      <w:r w:rsidR="00AC5A1B">
        <w:t>ymptoms</w:t>
      </w:r>
      <w:r w:rsidRPr="008A2858">
        <w:t xml:space="preserve"> </w:t>
      </w:r>
      <w:r w:rsidR="00AC5A1B">
        <w:t>of</w:t>
      </w:r>
      <w:r w:rsidRPr="008A2858">
        <w:t xml:space="preserve"> </w:t>
      </w:r>
      <w:r w:rsidR="00AC5A1B">
        <w:t>Sick Building</w:t>
      </w:r>
      <w:r w:rsidRPr="008A2858">
        <w:t xml:space="preserve"> </w:t>
      </w:r>
      <w:r w:rsidR="00AC5A1B">
        <w:t>Syndrome (McNaughton et al., 2017)</w:t>
      </w:r>
      <w:r w:rsidRPr="008A2858">
        <w:t>.</w:t>
      </w:r>
    </w:p>
    <w:p w14:paraId="43B8DEAD" w14:textId="05688997" w:rsidR="008A2858" w:rsidRPr="008A2858" w:rsidRDefault="008A2858" w:rsidP="008A2858">
      <w:r w:rsidRPr="008A2858">
        <w:t>For York University, these benefits extend beyond individual health outcomes to institutional performance. Improved learning environments support student success and retention. Enhanced workplace conditions support faculty and staff productivity and satisfaction. Better indoor environmental quality reduces healthcare costs and supports the university</w:t>
      </w:r>
      <w:r w:rsidR="00027B17">
        <w:t>’</w:t>
      </w:r>
      <w:r w:rsidRPr="008A2858">
        <w:t>s broader wellness initiatives. These outcomes provide tangible return on investment for building features that serve multiple institutional goals.</w:t>
      </w:r>
    </w:p>
    <w:p w14:paraId="2643729C" w14:textId="77777777" w:rsidR="008A2858" w:rsidRPr="008A2858" w:rsidRDefault="008A2858" w:rsidP="008A2858">
      <w:pPr>
        <w:rPr>
          <w:b/>
          <w:bCs/>
        </w:rPr>
      </w:pPr>
      <w:r w:rsidRPr="008A2858">
        <w:rPr>
          <w:b/>
          <w:bCs/>
        </w:rPr>
        <w:t>Integration with Indigenous Knowledge and Accessibility</w:t>
      </w:r>
    </w:p>
    <w:p w14:paraId="04908366" w14:textId="5B574441" w:rsidR="008A2858" w:rsidRPr="008A2858" w:rsidRDefault="008A2858" w:rsidP="008A2858">
      <w:r w:rsidRPr="008A2858">
        <w:t>York</w:t>
      </w:r>
      <w:r w:rsidR="00027B17">
        <w:t>’</w:t>
      </w:r>
      <w:r w:rsidRPr="008A2858">
        <w:t>s approach integrates Indigenous knowledge systems through the Two Row Wampum Belt Treaty principles and Truth and Reconciliation commitments. The Well-being Strategy incorporates Anishinaabe teachings of Mino Bimaadizinwin, emphasizing holistic, balanced approaches to well-being that recognize interconnections between environmental stewardship and human health. This framework supports building strategies that incorporate native landscaping, minimize environmental impacts, and create meaningful connections to the natural world.</w:t>
      </w:r>
    </w:p>
    <w:p w14:paraId="370D806D" w14:textId="07DF9DA5" w:rsidR="008A2858" w:rsidRPr="008A2858" w:rsidRDefault="008A2858" w:rsidP="008A2858">
      <w:r w:rsidRPr="008A2858">
        <w:t>Universal design principles extend beyond regulatory compliance to embrace inclusive environments that support all community members. Features such as multi-sensory wayfinding systems, accessible building controls, and flexible community spaces address both accessibility requirements and broader wellness goals. These inclusive design elements support the Charter</w:t>
      </w:r>
      <w:r w:rsidR="00027B17">
        <w:t>’</w:t>
      </w:r>
      <w:r w:rsidRPr="008A2858">
        <w:t xml:space="preserve">s emphasis on creating </w:t>
      </w:r>
      <w:r w:rsidR="00A8627F">
        <w:t>“</w:t>
      </w:r>
      <w:r w:rsidRPr="008A2858">
        <w:t>thriving communities and a culture of well-being</w:t>
      </w:r>
      <w:r w:rsidR="00A8627F">
        <w:t>”</w:t>
      </w:r>
      <w:r w:rsidRPr="008A2858">
        <w:t xml:space="preserve"> while demonstrating institutional commitment to equity and inclusion.</w:t>
      </w:r>
    </w:p>
    <w:p w14:paraId="1C049B0F" w14:textId="77777777" w:rsidR="008A2858" w:rsidRPr="008A2858" w:rsidRDefault="008A2858" w:rsidP="008A2858">
      <w:pPr>
        <w:rPr>
          <w:b/>
          <w:bCs/>
        </w:rPr>
      </w:pPr>
      <w:r w:rsidRPr="008A2858">
        <w:rPr>
          <w:b/>
          <w:bCs/>
        </w:rPr>
        <w:t>Implementation Through Performance Standards</w:t>
      </w:r>
    </w:p>
    <w:p w14:paraId="77BD5088" w14:textId="69F6140D" w:rsidR="008A2858" w:rsidRPr="008A2858" w:rsidRDefault="008A2858" w:rsidP="008A2858">
      <w:r w:rsidRPr="008A2858">
        <w:t>York</w:t>
      </w:r>
      <w:r w:rsidR="00027B17">
        <w:t>’</w:t>
      </w:r>
      <w:r w:rsidRPr="008A2858">
        <w:t>s green building strategy translates health promotion commitments into specific, measurable building performance requirements. Enhanced indoor air quality standards, including MERV 13/14 filtration systems and increased ventilation rates, directly implement Charter obligations while supporting energy efficiency through heat recovery systems. Thermal comfort requirements ensuring 80% of spaces meet ASHRAE standards address community-identified needs while optimizing HVAC system performance.</w:t>
      </w:r>
    </w:p>
    <w:p w14:paraId="34C7798D" w14:textId="77777777" w:rsidR="008A2858" w:rsidRPr="008A2858" w:rsidRDefault="008A2858" w:rsidP="008A2858">
      <w:r w:rsidRPr="008A2858">
        <w:lastRenderedPageBreak/>
        <w:t>Biophilic design elements, including requirements for plants, nature views, and natural materials in common spaces, implement Charter principles of connection to nature while supporting mental health and productivity. Daylighting requirements achieving minimum 3% daylight factor in 80% of regularly occupied spaces respond to community requests for natural light while reducing energy consumption for artificial lighting.</w:t>
      </w:r>
    </w:p>
    <w:p w14:paraId="638EF1B5" w14:textId="77777777" w:rsidR="008A2858" w:rsidRPr="008A2858" w:rsidRDefault="008A2858" w:rsidP="008A2858">
      <w:pPr>
        <w:rPr>
          <w:b/>
          <w:bCs/>
        </w:rPr>
      </w:pPr>
      <w:r w:rsidRPr="008A2858">
        <w:rPr>
          <w:b/>
          <w:bCs/>
        </w:rPr>
        <w:t>Monitoring and Accountability Framework</w:t>
      </w:r>
    </w:p>
    <w:p w14:paraId="7DDBA4A3" w14:textId="7283F3C4" w:rsidR="008A2858" w:rsidRPr="008A2858" w:rsidRDefault="008A2858" w:rsidP="008A2858">
      <w:r w:rsidRPr="008A2858">
        <w:t>The integration of health and environmental goals requires monitoring systems that track both performance areas. York</w:t>
      </w:r>
      <w:r w:rsidR="00027B17">
        <w:t>’</w:t>
      </w:r>
      <w:r w:rsidRPr="008A2858">
        <w:t>s approach includes enhanced commissioning processes, 24-month post-occupancy monitoring, and regular occupant satisfaction surveys. The Well-being Strategy commits to annual reporting on initiative impacts, providing accountability mechanisms for both Charter implementation and building performance.</w:t>
      </w:r>
    </w:p>
    <w:p w14:paraId="6E47F307" w14:textId="77777777" w:rsidR="008A2858" w:rsidRPr="008A2858" w:rsidRDefault="008A2858" w:rsidP="008A2858">
      <w:r w:rsidRPr="008A2858">
        <w:t>This monitoring framework enables York to demonstrate return on investment for health-focused building features while identifying opportunities for continuous improvement. Building performance dashboards can track energy efficiency alongside occupant satisfaction, providing comprehensive assessment of integrated sustainability and health outcomes.</w:t>
      </w:r>
    </w:p>
    <w:p w14:paraId="59435072" w14:textId="77777777" w:rsidR="008A2858" w:rsidRPr="008A2858" w:rsidRDefault="008A2858" w:rsidP="008A2858">
      <w:pPr>
        <w:rPr>
          <w:b/>
          <w:bCs/>
        </w:rPr>
      </w:pPr>
      <w:r w:rsidRPr="008A2858">
        <w:rPr>
          <w:b/>
          <w:bCs/>
        </w:rPr>
        <w:t>Strategic Business Case</w:t>
      </w:r>
    </w:p>
    <w:p w14:paraId="06721DD4" w14:textId="648A764D" w:rsidR="008A2858" w:rsidRPr="008A2858" w:rsidRDefault="008A2858" w:rsidP="008A2858">
      <w:r w:rsidRPr="008A2858">
        <w:t>York University</w:t>
      </w:r>
      <w:r w:rsidR="00027B17">
        <w:t>’</w:t>
      </w:r>
      <w:r w:rsidRPr="008A2858">
        <w:t>s Okanagan Charter commitment transforms the business case for enhanced building features by positioning them as institutional requirements rather than optional upgrades. Health-focused building elements serve multiple strategic purposes: fulfilling Charter obligations, addressing community-identified needs, supporting recruitment and retention goals, and advancing environmental sustainability objectives.</w:t>
      </w:r>
    </w:p>
    <w:p w14:paraId="45664547" w14:textId="40DE4903" w:rsidR="008A2858" w:rsidRPr="008A2858" w:rsidRDefault="008A2858" w:rsidP="008A2858">
      <w:r w:rsidRPr="008A2858">
        <w:t>This integrated approach enables York to justify investments in high-performance building systems by demonstrating benefits across multiple institutional priorities. Rather than competing for resources, health and sustainability initiatives reinforce each other through shared building strategies that advance both environmental and wellness goals while fulfilling formal institutional commitments.</w:t>
      </w:r>
    </w:p>
    <w:p w14:paraId="5A591FEF" w14:textId="22AB0430" w:rsidR="00052B3F" w:rsidRPr="00D06382" w:rsidRDefault="00052B3F" w:rsidP="00DE423B">
      <w:pPr>
        <w:pStyle w:val="Heading1"/>
      </w:pPr>
      <w:bookmarkStart w:id="9" w:name="_Toc202742974"/>
      <w:r w:rsidRPr="00D06382">
        <w:t>The Case of Universities</w:t>
      </w:r>
      <w:bookmarkEnd w:id="9"/>
    </w:p>
    <w:p w14:paraId="282AFA41" w14:textId="77777777" w:rsidR="00052B3F" w:rsidRPr="00EF15F0" w:rsidRDefault="00052B3F" w:rsidP="00EF15F0">
      <w:pPr>
        <w:pStyle w:val="Heading3"/>
        <w:rPr>
          <w:sz w:val="21"/>
          <w:szCs w:val="20"/>
        </w:rPr>
      </w:pPr>
      <w:bookmarkStart w:id="10" w:name="_Toc202742975"/>
      <w:r w:rsidRPr="00EF15F0">
        <w:rPr>
          <w:sz w:val="21"/>
          <w:szCs w:val="20"/>
        </w:rPr>
        <w:t>Sustainability Strategies in Higher Education</w:t>
      </w:r>
      <w:bookmarkEnd w:id="10"/>
    </w:p>
    <w:p w14:paraId="130B26FC" w14:textId="3658E191" w:rsidR="00052B3F" w:rsidRPr="00D06382" w:rsidRDefault="00052B3F" w:rsidP="00052B3F">
      <w:pPr>
        <w:jc w:val="both"/>
        <w:rPr>
          <w:rFonts w:cs="Times New Roman"/>
        </w:rPr>
      </w:pPr>
      <w:r w:rsidRPr="00D06382">
        <w:rPr>
          <w:rFonts w:cs="Times New Roman"/>
        </w:rPr>
        <w:t>Universities play a crucial role in advancing sustainability through their operations, research, and educational programs (Filho et al., 2019). Many institutions have developed comprehensive sustainability strategies to guide their efforts. Lozano et al. (2015) analyzed sustainability strategies from 70 higher education institutions globally, finding that while approaches varied, common elements included setting measurable targets, integrating sustainability into curricula, and improving campus operations. The authors noted that successful strategies aligned sustainability initiatives with core institutional values and mission.</w:t>
      </w:r>
    </w:p>
    <w:p w14:paraId="21ED6883" w14:textId="212BC929" w:rsidR="009B4075" w:rsidRPr="00D06382" w:rsidRDefault="00052B3F" w:rsidP="00052B3F">
      <w:pPr>
        <w:jc w:val="both"/>
        <w:rPr>
          <w:rFonts w:cs="Times New Roman"/>
        </w:rPr>
      </w:pPr>
      <w:r w:rsidRPr="00D06382">
        <w:rPr>
          <w:rFonts w:cs="Times New Roman"/>
        </w:rPr>
        <w:lastRenderedPageBreak/>
        <w:t>In the Canadian context, Henderson et al. (2017) examined sustainability strategies at 21 universities, identifying key success factors such as strong leadership support, dedicated sustainability offices, and integration of sustainability into strategic plans. The study highlighted the importance of tailoring strategies to institutional context while drawing on best</w:t>
      </w:r>
      <w:r w:rsidR="0004399B" w:rsidRPr="00D06382">
        <w:rPr>
          <w:rFonts w:cs="Times New Roman"/>
        </w:rPr>
        <w:t xml:space="preserve"> sustainability</w:t>
      </w:r>
      <w:r w:rsidRPr="00D06382">
        <w:rPr>
          <w:rFonts w:cs="Times New Roman"/>
        </w:rPr>
        <w:t xml:space="preserve"> practices. </w:t>
      </w:r>
    </w:p>
    <w:p w14:paraId="4A4ABBAB" w14:textId="77777777" w:rsidR="00052B3F" w:rsidRPr="00D06382" w:rsidRDefault="00052B3F" w:rsidP="00052B3F">
      <w:pPr>
        <w:pStyle w:val="Heading3"/>
        <w:rPr>
          <w:rFonts w:asciiTheme="minorHAnsi" w:hAnsiTheme="minorHAnsi" w:cs="Times New Roman"/>
          <w:sz w:val="22"/>
          <w:szCs w:val="22"/>
        </w:rPr>
      </w:pPr>
      <w:bookmarkStart w:id="11" w:name="_Toc202742976"/>
      <w:r w:rsidRPr="00D06382">
        <w:rPr>
          <w:rFonts w:asciiTheme="minorHAnsi" w:hAnsiTheme="minorHAnsi" w:cs="Times New Roman"/>
          <w:sz w:val="22"/>
          <w:szCs w:val="22"/>
        </w:rPr>
        <w:t>Energy Efficiency and Carbon Reduction</w:t>
      </w:r>
      <w:bookmarkEnd w:id="11"/>
      <w:r w:rsidRPr="00D06382">
        <w:rPr>
          <w:rFonts w:asciiTheme="minorHAnsi" w:hAnsiTheme="minorHAnsi" w:cs="Times New Roman"/>
          <w:sz w:val="22"/>
          <w:szCs w:val="22"/>
        </w:rPr>
        <w:t xml:space="preserve"> </w:t>
      </w:r>
    </w:p>
    <w:p w14:paraId="36169D6F" w14:textId="2E8DEC30" w:rsidR="00052B3F" w:rsidRPr="00D06382" w:rsidRDefault="00052B3F" w:rsidP="00052B3F">
      <w:pPr>
        <w:jc w:val="both"/>
        <w:rPr>
          <w:rFonts w:cs="Times New Roman"/>
        </w:rPr>
      </w:pPr>
      <w:r w:rsidRPr="00D06382">
        <w:rPr>
          <w:rFonts w:cs="Times New Roman"/>
        </w:rPr>
        <w:t>Reducing energy consumption and associated greenhouse gas emissions is a primary focus of green building strategies. Universities face unique challenges in this area due to diverse building types, intensive research activities, and changing space utilization patterns (Lodi, 2017).</w:t>
      </w:r>
    </w:p>
    <w:p w14:paraId="203D808E" w14:textId="15AAC40F" w:rsidR="00052B3F" w:rsidRPr="00D06382" w:rsidRDefault="00052B3F" w:rsidP="00052B3F">
      <w:pPr>
        <w:jc w:val="both"/>
        <w:rPr>
          <w:rFonts w:cs="Times New Roman"/>
        </w:rPr>
      </w:pPr>
      <w:r w:rsidRPr="00D06382">
        <w:rPr>
          <w:rFonts w:cs="Times New Roman"/>
        </w:rPr>
        <w:t>Faghihi et al. (2015) conducted a systematic review of energy conservation measures in university buildings, identifying key strategies such as building envelope improvements, HVAC system upgrades, lighting retrofits, and implementation of building automation systems. The authors found that while technological solutions are important, behavioral interventions and occupant engagement are crucial for maximizing energy savings.</w:t>
      </w:r>
    </w:p>
    <w:p w14:paraId="3C138839" w14:textId="4A3D444E" w:rsidR="00052B3F" w:rsidRPr="00D06382" w:rsidRDefault="00052B3F" w:rsidP="00052B3F">
      <w:pPr>
        <w:jc w:val="both"/>
        <w:rPr>
          <w:rFonts w:cs="Times New Roman"/>
        </w:rPr>
      </w:pPr>
      <w:r w:rsidRPr="00D06382">
        <w:rPr>
          <w:rFonts w:cs="Times New Roman"/>
        </w:rPr>
        <w:t>Several case studies highlight successful approaches to campus energy management. The University of Toronto</w:t>
      </w:r>
      <w:r w:rsidR="00027B17">
        <w:rPr>
          <w:rFonts w:cs="Times New Roman"/>
        </w:rPr>
        <w:t>’</w:t>
      </w:r>
      <w:r w:rsidRPr="00D06382">
        <w:rPr>
          <w:rFonts w:cs="Times New Roman"/>
        </w:rPr>
        <w:t>s Sustainability Office reported a 40% reduction in energy intensity across its St. George campus from 2008 to 2018 through a combination of building retrofits, operational improvements, and implementation of a cogeneration plant (University of Toronto, 2023). Similarly, McGill University achieved a 34% reduction in building energy intensity from 2002 to 2017 through its comprehensive Energy Management Plan (McGill University, 2024).</w:t>
      </w:r>
    </w:p>
    <w:p w14:paraId="2CA2725D" w14:textId="24777BDE" w:rsidR="00052B3F" w:rsidRPr="00D06382" w:rsidRDefault="00052B3F" w:rsidP="00052B3F">
      <w:pPr>
        <w:jc w:val="both"/>
        <w:rPr>
          <w:rFonts w:cs="Times New Roman"/>
        </w:rPr>
      </w:pPr>
      <w:r w:rsidRPr="00D06382">
        <w:rPr>
          <w:rFonts w:cs="Times New Roman"/>
        </w:rPr>
        <w:t xml:space="preserve">Advancing toward </w:t>
      </w:r>
      <w:r w:rsidR="00193864">
        <w:rPr>
          <w:rFonts w:cs="Times New Roman"/>
        </w:rPr>
        <w:t>net zero</w:t>
      </w:r>
      <w:r w:rsidRPr="00D06382">
        <w:rPr>
          <w:rFonts w:cs="Times New Roman"/>
        </w:rPr>
        <w:t xml:space="preserve"> is an increasingly common goal for universities. Osorio et al. (2022) analyzed carbon reduction strategies at 50 higher education institutions, finding that successful approaches combined energy efficiency improvements, renewable energy deployment, and carbon offset programs. The authors emphasized the importance of setting science-based targets and developing clear implementation roadmaps.</w:t>
      </w:r>
    </w:p>
    <w:p w14:paraId="475649E4" w14:textId="77777777" w:rsidR="009B4075" w:rsidRPr="00D06382" w:rsidRDefault="009B4075" w:rsidP="00052B3F">
      <w:pPr>
        <w:jc w:val="both"/>
        <w:rPr>
          <w:rFonts w:cs="Times New Roman"/>
        </w:rPr>
      </w:pPr>
    </w:p>
    <w:p w14:paraId="6F0A131A" w14:textId="77777777" w:rsidR="00052B3F" w:rsidRPr="00D06382" w:rsidRDefault="00052B3F" w:rsidP="00052B3F">
      <w:pPr>
        <w:pStyle w:val="Heading3"/>
        <w:rPr>
          <w:rFonts w:asciiTheme="minorHAnsi" w:hAnsiTheme="minorHAnsi" w:cs="Times New Roman"/>
          <w:sz w:val="22"/>
          <w:szCs w:val="22"/>
        </w:rPr>
      </w:pPr>
      <w:bookmarkStart w:id="12" w:name="_Toc202742977"/>
      <w:r w:rsidRPr="00D06382">
        <w:rPr>
          <w:rFonts w:asciiTheme="minorHAnsi" w:hAnsiTheme="minorHAnsi" w:cs="Times New Roman"/>
          <w:sz w:val="22"/>
          <w:szCs w:val="22"/>
        </w:rPr>
        <w:t>Indoor Environmental Quality and Occupant Well-being</w:t>
      </w:r>
      <w:bookmarkEnd w:id="12"/>
    </w:p>
    <w:p w14:paraId="3DF4B0F4" w14:textId="792FA551" w:rsidR="00052B3F" w:rsidRPr="00D06382" w:rsidRDefault="00052B3F" w:rsidP="00052B3F">
      <w:pPr>
        <w:jc w:val="both"/>
        <w:rPr>
          <w:rFonts w:cs="Times New Roman"/>
        </w:rPr>
      </w:pPr>
      <w:r w:rsidRPr="00D06382">
        <w:rPr>
          <w:rFonts w:cs="Times New Roman"/>
        </w:rPr>
        <w:t>Green building strategies increasingly emphasize the importance of indoor environmental quality (IEQ) and its impacts on occupant health, comfort, and productivity. MacNaughton et al. (2017) found that occupants of green-certified buildings reported 26.4% higher cognitive function scores, 30% fewer sick building syndrome</w:t>
      </w:r>
      <w:r w:rsidRPr="00D06382">
        <w:rPr>
          <w:rStyle w:val="FootnoteReference"/>
          <w:rFonts w:cs="Times New Roman"/>
        </w:rPr>
        <w:footnoteReference w:id="2"/>
      </w:r>
      <w:r w:rsidRPr="00D06382">
        <w:rPr>
          <w:rFonts w:cs="Times New Roman"/>
        </w:rPr>
        <w:t xml:space="preserve"> symptoms, and 6.4% higher sleep quality scores compared to those in conventional buildings.</w:t>
      </w:r>
    </w:p>
    <w:p w14:paraId="40B3AF9B" w14:textId="27D0DBCC" w:rsidR="001C21F4" w:rsidRPr="00D06382" w:rsidRDefault="00052B3F" w:rsidP="00052B3F">
      <w:pPr>
        <w:jc w:val="both"/>
        <w:rPr>
          <w:rFonts w:cs="Times New Roman"/>
        </w:rPr>
      </w:pPr>
      <w:r w:rsidRPr="00D06382">
        <w:rPr>
          <w:rFonts w:cs="Times New Roman"/>
        </w:rPr>
        <w:lastRenderedPageBreak/>
        <w:t>In the university context, Asmar et al. (2019) surveyed IEQ satisfaction in LEED-certified campus buildings at Arizona State University, finding generally high levels of occupant satisfaction but identifying opportunities for improvement in thermal comfort and acoustic quality. The authors recommended post-occupancy evaluations and continuous monitoring to optimize building performance and occupant experience.</w:t>
      </w:r>
    </w:p>
    <w:p w14:paraId="0F603CC7" w14:textId="77777777" w:rsidR="00052B3F" w:rsidRPr="00D06382" w:rsidRDefault="00052B3F" w:rsidP="00052B3F">
      <w:pPr>
        <w:pStyle w:val="Heading3"/>
        <w:rPr>
          <w:rFonts w:asciiTheme="minorHAnsi" w:hAnsiTheme="minorHAnsi" w:cs="Times New Roman"/>
          <w:sz w:val="22"/>
          <w:szCs w:val="22"/>
        </w:rPr>
      </w:pPr>
      <w:bookmarkStart w:id="13" w:name="_Toc202742978"/>
      <w:r w:rsidRPr="00D06382">
        <w:rPr>
          <w:rFonts w:asciiTheme="minorHAnsi" w:hAnsiTheme="minorHAnsi" w:cs="Times New Roman"/>
          <w:sz w:val="22"/>
          <w:szCs w:val="22"/>
        </w:rPr>
        <w:t>Materials and Resources</w:t>
      </w:r>
      <w:bookmarkEnd w:id="13"/>
    </w:p>
    <w:p w14:paraId="2E4F4C0E" w14:textId="1E4A63E0" w:rsidR="00052B3F" w:rsidRPr="00D06382" w:rsidRDefault="00052B3F" w:rsidP="00052B3F">
      <w:pPr>
        <w:jc w:val="both"/>
        <w:rPr>
          <w:rFonts w:cs="Times New Roman"/>
        </w:rPr>
      </w:pPr>
      <w:r w:rsidRPr="00D06382">
        <w:rPr>
          <w:rFonts w:cs="Times New Roman"/>
        </w:rPr>
        <w:t>Sustainable materials selection and waste reduction are important considerations in green building strategies. Gou and Xie (2017) analyzed materials criteria in green building rating systems, highlighting the increasing emphasis on life-cycle assessment and embodied carbon. The authors noted that universities can leverage their purchasing power to drive market transformation toward more sustainable materials.</w:t>
      </w:r>
    </w:p>
    <w:p w14:paraId="581F91F8" w14:textId="11959E8E" w:rsidR="001C21F4" w:rsidRPr="00D06382" w:rsidRDefault="00052B3F" w:rsidP="00052B3F">
      <w:pPr>
        <w:jc w:val="both"/>
        <w:rPr>
          <w:rFonts w:cs="Times New Roman"/>
        </w:rPr>
      </w:pPr>
      <w:r w:rsidRPr="00D06382">
        <w:rPr>
          <w:rFonts w:cs="Times New Roman"/>
        </w:rPr>
        <w:t>Several universities have implemented innovative approaches to materials management. The University of British Columbia</w:t>
      </w:r>
      <w:r w:rsidR="00027B17">
        <w:rPr>
          <w:rFonts w:cs="Times New Roman"/>
        </w:rPr>
        <w:t>’</w:t>
      </w:r>
      <w:r w:rsidRPr="00D06382">
        <w:rPr>
          <w:rFonts w:cs="Times New Roman"/>
        </w:rPr>
        <w:t>s Centre for Interactive Research on Sustainability was constructed using wood sourced from pine-beetle-damaged forests, demonstrating the potential for using locally sourced, low-impact materials (UBC, 2015). Concordia University</w:t>
      </w:r>
      <w:r w:rsidR="00027B17">
        <w:rPr>
          <w:rFonts w:cs="Times New Roman"/>
        </w:rPr>
        <w:t>’</w:t>
      </w:r>
      <w:r w:rsidRPr="00D06382">
        <w:rPr>
          <w:rFonts w:cs="Times New Roman"/>
        </w:rPr>
        <w:t>s Zero Waste Program has achieved an 87% waste diversion rate through comprehensive recycling and composting initiatives (Concordia University, 2024).</w:t>
      </w:r>
    </w:p>
    <w:p w14:paraId="72E90F6B" w14:textId="77777777" w:rsidR="00052B3F" w:rsidRPr="00D06382" w:rsidRDefault="00052B3F" w:rsidP="00052B3F">
      <w:pPr>
        <w:pStyle w:val="Heading3"/>
        <w:rPr>
          <w:rFonts w:asciiTheme="minorHAnsi" w:hAnsiTheme="minorHAnsi" w:cs="Times New Roman"/>
          <w:sz w:val="22"/>
          <w:szCs w:val="22"/>
        </w:rPr>
      </w:pPr>
      <w:bookmarkStart w:id="14" w:name="_Toc202742979"/>
      <w:r w:rsidRPr="00D06382">
        <w:rPr>
          <w:rFonts w:asciiTheme="minorHAnsi" w:hAnsiTheme="minorHAnsi" w:cs="Times New Roman"/>
          <w:sz w:val="22"/>
          <w:szCs w:val="22"/>
        </w:rPr>
        <w:t>Stakeholder Engagement and Education</w:t>
      </w:r>
      <w:bookmarkEnd w:id="14"/>
    </w:p>
    <w:p w14:paraId="3F3548E3" w14:textId="6917516D" w:rsidR="00052B3F" w:rsidRPr="00D06382" w:rsidRDefault="00052B3F" w:rsidP="00052B3F">
      <w:pPr>
        <w:jc w:val="both"/>
        <w:rPr>
          <w:rFonts w:cs="Times New Roman"/>
        </w:rPr>
      </w:pPr>
      <w:r w:rsidRPr="00D06382">
        <w:rPr>
          <w:rFonts w:cs="Times New Roman"/>
        </w:rPr>
        <w:t>Effective stakeholder engagement is crucial for the success of green building initiatives on university campuses. Too and Bajracharya (2015) identified key stakeholder groups, including students, faculty, staff, administrators, and external partners. The authors emphasized the importance of early and ongoing engagement to build support and leverage diverse expertise.</w:t>
      </w:r>
    </w:p>
    <w:p w14:paraId="1E41B952" w14:textId="7E0F097B" w:rsidR="00052B3F" w:rsidRPr="00D06382" w:rsidRDefault="00052B3F" w:rsidP="00052B3F">
      <w:pPr>
        <w:jc w:val="both"/>
        <w:rPr>
          <w:rFonts w:cs="Times New Roman"/>
        </w:rPr>
      </w:pPr>
      <w:r w:rsidRPr="00D06382">
        <w:rPr>
          <w:rFonts w:cs="Times New Roman"/>
        </w:rPr>
        <w:t xml:space="preserve">Several studies have examined the role of green buildings in supporting sustainability education. Sroufe (2020) and Coleman and Robinson (2018) found that integrating building performance data into curricula enhanced student learning outcomes in sustainability-related courses. They demonstrated how green buildings can serve as </w:t>
      </w:r>
      <w:r w:rsidR="00027B17">
        <w:rPr>
          <w:rFonts w:cs="Times New Roman"/>
        </w:rPr>
        <w:t>‘</w:t>
      </w:r>
      <w:r w:rsidRPr="00D06382">
        <w:rPr>
          <w:rFonts w:cs="Times New Roman"/>
        </w:rPr>
        <w:t>living laboratories</w:t>
      </w:r>
      <w:r w:rsidR="00027B17">
        <w:rPr>
          <w:rFonts w:cs="Times New Roman"/>
        </w:rPr>
        <w:t>’</w:t>
      </w:r>
      <w:r w:rsidRPr="00D06382">
        <w:rPr>
          <w:rFonts w:cs="Times New Roman"/>
        </w:rPr>
        <w:t xml:space="preserve"> for hands-on learning and research opportunities.</w:t>
      </w:r>
    </w:p>
    <w:p w14:paraId="5A6F4E23" w14:textId="77777777" w:rsidR="00052B3F" w:rsidRPr="00D06382" w:rsidRDefault="00052B3F" w:rsidP="00052B3F">
      <w:pPr>
        <w:pStyle w:val="Heading3"/>
        <w:rPr>
          <w:rFonts w:asciiTheme="minorHAnsi" w:hAnsiTheme="minorHAnsi" w:cs="Times New Roman"/>
          <w:sz w:val="22"/>
          <w:szCs w:val="22"/>
        </w:rPr>
      </w:pPr>
      <w:bookmarkStart w:id="15" w:name="_Toc202742980"/>
      <w:r w:rsidRPr="00D06382">
        <w:rPr>
          <w:rFonts w:asciiTheme="minorHAnsi" w:hAnsiTheme="minorHAnsi" w:cs="Times New Roman"/>
          <w:sz w:val="22"/>
          <w:szCs w:val="22"/>
        </w:rPr>
        <w:t>Water Conservation and Management</w:t>
      </w:r>
      <w:bookmarkEnd w:id="15"/>
    </w:p>
    <w:p w14:paraId="024D1798" w14:textId="3E9BB3BD" w:rsidR="00052B3F" w:rsidRPr="00D06382" w:rsidRDefault="00052B3F" w:rsidP="00052B3F">
      <w:pPr>
        <w:jc w:val="both"/>
        <w:rPr>
          <w:rFonts w:cs="Times New Roman"/>
        </w:rPr>
      </w:pPr>
      <w:r w:rsidRPr="00D06382">
        <w:rPr>
          <w:rFonts w:cs="Times New Roman"/>
        </w:rPr>
        <w:t>Water conservation and management, including stormwater management, are critical components of green building strategies in higher education institutions. As climate change intensifies water-related challenges, universities are increasingly adopting innovative water use and management approaches on their campuses.</w:t>
      </w:r>
    </w:p>
    <w:p w14:paraId="1E91895B" w14:textId="6A835BA8" w:rsidR="00052B3F" w:rsidRPr="00D06382" w:rsidRDefault="00052B3F" w:rsidP="00052B3F">
      <w:pPr>
        <w:jc w:val="both"/>
        <w:rPr>
          <w:rFonts w:cs="Times New Roman"/>
        </w:rPr>
      </w:pPr>
      <w:r w:rsidRPr="00D06382">
        <w:rPr>
          <w:rFonts w:cs="Times New Roman"/>
        </w:rPr>
        <w:t>Marinho et al. (2014) reviewed water management practices in universities, identifying measures such as the installation of low-flow fixtures, rainwater harvesting, and greywater reuse systems. The study highlighted the potential for significant water savings through technological and behavioral interventions. Several Canadian universities have implemented innovative water management strategies. For instance, the University of Guelph</w:t>
      </w:r>
      <w:r w:rsidR="00027B17">
        <w:rPr>
          <w:rFonts w:cs="Times New Roman"/>
        </w:rPr>
        <w:t>’</w:t>
      </w:r>
      <w:r w:rsidRPr="00D06382">
        <w:rPr>
          <w:rFonts w:cs="Times New Roman"/>
        </w:rPr>
        <w:t xml:space="preserve">s Water </w:t>
      </w:r>
      <w:r w:rsidRPr="00D06382">
        <w:rPr>
          <w:rFonts w:cs="Times New Roman"/>
        </w:rPr>
        <w:lastRenderedPageBreak/>
        <w:t>Conservation Project achieved a 30% reduction in water consumption through upgrades to building systems and changes in landscape practices (University of Guelph, 2020).</w:t>
      </w:r>
    </w:p>
    <w:p w14:paraId="07C032D9" w14:textId="71F2D58B" w:rsidR="00052B3F" w:rsidRPr="00D06382" w:rsidRDefault="00052B3F" w:rsidP="00052B3F">
      <w:pPr>
        <w:jc w:val="both"/>
        <w:rPr>
          <w:rFonts w:cs="Times New Roman"/>
        </w:rPr>
      </w:pPr>
      <w:r w:rsidRPr="00D06382">
        <w:rPr>
          <w:rFonts w:cs="Times New Roman"/>
        </w:rPr>
        <w:t>Stormwater management has emerged as a crucial aspect of sustainable campus design, particularly in urban environments. Eckart et al. (2017) conducted a comprehensive review of stormwater management practices on university campuses, highlighting the shift toward green infrastructure solutions. These approaches manage water quantity, improve water quality, and provide additional ecosystem services. Key benefits of effective stormwater management in university settings include reduced flood risk and improved campus resilience to extreme weather events. The common techniques for stormwater management on campuses also include bioretention systems (rain gardens, bioswales), permeable pavements, green roofs, and rainwater harvesting systems.</w:t>
      </w:r>
    </w:p>
    <w:p w14:paraId="79EF1F22" w14:textId="2244435C" w:rsidR="00052B3F" w:rsidRPr="00D06382" w:rsidRDefault="00052B3F" w:rsidP="00052B3F">
      <w:pPr>
        <w:jc w:val="both"/>
        <w:rPr>
          <w:rFonts w:cs="Times New Roman"/>
        </w:rPr>
      </w:pPr>
      <w:r w:rsidRPr="00D06382">
        <w:rPr>
          <w:rFonts w:cs="Times New Roman"/>
        </w:rPr>
        <w:t>Western University</w:t>
      </w:r>
      <w:r w:rsidR="00027B17">
        <w:rPr>
          <w:rFonts w:cs="Times New Roman"/>
        </w:rPr>
        <w:t>’</w:t>
      </w:r>
      <w:r w:rsidRPr="00D06382">
        <w:rPr>
          <w:rFonts w:cs="Times New Roman"/>
        </w:rPr>
        <w:t>s stormwater management system incorporates green infrastructure elements like bioswales and permeable pavement to reduce runoff and improve water quality (Western University, 2017). This approach demonstrates the integration of stormwater management with broader campus sustainability goals.</w:t>
      </w:r>
    </w:p>
    <w:p w14:paraId="09A79429" w14:textId="2397DF70" w:rsidR="00052B3F" w:rsidRPr="00D06382" w:rsidRDefault="00052B3F" w:rsidP="00052B3F">
      <w:pPr>
        <w:jc w:val="both"/>
        <w:rPr>
          <w:rFonts w:cs="Times New Roman"/>
        </w:rPr>
      </w:pPr>
      <w:r w:rsidRPr="00D06382">
        <w:rPr>
          <w:rFonts w:cs="Times New Roman"/>
        </w:rPr>
        <w:t>Similarly, recent trends and innovations in campus stormwater management include the use of smart technologies for real-time monitoring and control. Chen et al. (2023) described the implementation of a smart stormwater management system that uses weather forecasts and real-time data to optimize the performance of green infrastructure. This approach allows for more efficient use of stormwater storage capacity and improved water quality outcomes.</w:t>
      </w:r>
    </w:p>
    <w:p w14:paraId="78393EE5" w14:textId="4512027E" w:rsidR="00052B3F" w:rsidRPr="00D06382" w:rsidRDefault="00052B3F" w:rsidP="00052B3F">
      <w:pPr>
        <w:jc w:val="both"/>
        <w:rPr>
          <w:rFonts w:cs="Times New Roman"/>
        </w:rPr>
      </w:pPr>
      <w:r w:rsidRPr="00D06382">
        <w:rPr>
          <w:rFonts w:cs="Times New Roman"/>
        </w:rPr>
        <w:t xml:space="preserve">Another emerging trend is the concept of </w:t>
      </w:r>
      <w:r w:rsidR="00027B17">
        <w:rPr>
          <w:rFonts w:cs="Times New Roman"/>
        </w:rPr>
        <w:t>‘</w:t>
      </w:r>
      <w:r w:rsidRPr="00D06382">
        <w:rPr>
          <w:rFonts w:cs="Times New Roman"/>
        </w:rPr>
        <w:t>sponge campuses,</w:t>
      </w:r>
      <w:r w:rsidR="00027B17">
        <w:rPr>
          <w:rFonts w:cs="Times New Roman"/>
        </w:rPr>
        <w:t>’</w:t>
      </w:r>
      <w:r w:rsidRPr="00D06382">
        <w:rPr>
          <w:rFonts w:cs="Times New Roman"/>
        </w:rPr>
        <w:t xml:space="preserve"> which is gaining traction. Inspired by the larger </w:t>
      </w:r>
      <w:r w:rsidR="00A8627F">
        <w:rPr>
          <w:rFonts w:cs="Times New Roman"/>
        </w:rPr>
        <w:t>“</w:t>
      </w:r>
      <w:r w:rsidRPr="00D06382">
        <w:rPr>
          <w:rFonts w:cs="Times New Roman"/>
        </w:rPr>
        <w:t>sponge city</w:t>
      </w:r>
      <w:r w:rsidR="00A8627F">
        <w:rPr>
          <w:rFonts w:cs="Times New Roman"/>
        </w:rPr>
        <w:t>”</w:t>
      </w:r>
      <w:r w:rsidRPr="00D06382">
        <w:rPr>
          <w:rFonts w:cs="Times New Roman"/>
        </w:rPr>
        <w:t xml:space="preserve"> movement, this approach aims to create campuses that can absorb, clean, and use rainfall in an ecologically friendly way. Zhu et al. (2019) analyzed the implementation of sponge campus principles at Tianjin University in China, demonstrating how this integrated approach can significantly reduce runoff and improve water quality while creating attractive and functional landscapes.</w:t>
      </w:r>
    </w:p>
    <w:p w14:paraId="472EBD78" w14:textId="77777777" w:rsidR="00052B3F" w:rsidRPr="00D06382" w:rsidRDefault="00052B3F" w:rsidP="00052B3F">
      <w:pPr>
        <w:pStyle w:val="Heading3"/>
        <w:rPr>
          <w:rFonts w:asciiTheme="minorHAnsi" w:hAnsiTheme="minorHAnsi" w:cs="Times New Roman"/>
          <w:sz w:val="22"/>
          <w:szCs w:val="22"/>
        </w:rPr>
      </w:pPr>
      <w:bookmarkStart w:id="16" w:name="_Toc202742981"/>
      <w:r w:rsidRPr="00D06382">
        <w:rPr>
          <w:rFonts w:asciiTheme="minorHAnsi" w:hAnsiTheme="minorHAnsi" w:cs="Times New Roman"/>
          <w:sz w:val="22"/>
          <w:szCs w:val="22"/>
        </w:rPr>
        <w:t>Financing and Economic Considerations</w:t>
      </w:r>
      <w:bookmarkEnd w:id="16"/>
    </w:p>
    <w:p w14:paraId="70D3FDE0" w14:textId="655328A9" w:rsidR="00052B3F" w:rsidRPr="00D06382" w:rsidRDefault="00052B3F" w:rsidP="00052B3F">
      <w:pPr>
        <w:jc w:val="both"/>
        <w:rPr>
          <w:rFonts w:cs="Times New Roman"/>
        </w:rPr>
      </w:pPr>
      <w:r w:rsidRPr="00D06382">
        <w:rPr>
          <w:rFonts w:cs="Times New Roman"/>
        </w:rPr>
        <w:t>Implementing green building strategies often requires significant upfront investment, making financial considerations an essential aspect of planning. Darko and Chan (2017) analyzed barriers to green building in universities, identifying a lack of financial resources and split incentives as common challenges. To overcome these barriers, the authors recommended life-cycle cost analysis and innovative financing mechanisms.</w:t>
      </w:r>
    </w:p>
    <w:p w14:paraId="3B4505C3" w14:textId="3113A4F9" w:rsidR="00052B3F" w:rsidRPr="00D06382" w:rsidRDefault="00052B3F" w:rsidP="00052B3F">
      <w:pPr>
        <w:jc w:val="both"/>
        <w:rPr>
          <w:rFonts w:cs="Times New Roman"/>
        </w:rPr>
      </w:pPr>
      <w:r w:rsidRPr="00D06382">
        <w:rPr>
          <w:rFonts w:cs="Times New Roman"/>
        </w:rPr>
        <w:t>Several financing approaches have been successfully implemented at Canadian universities. The University of British Columbia</w:t>
      </w:r>
      <w:r w:rsidR="00027B17">
        <w:rPr>
          <w:rFonts w:cs="Times New Roman"/>
        </w:rPr>
        <w:t>’</w:t>
      </w:r>
      <w:r w:rsidRPr="00D06382">
        <w:rPr>
          <w:rFonts w:cs="Times New Roman"/>
        </w:rPr>
        <w:t>s Renewable Energy Hub utilizes a revolving fund model, where energy cost savings are reinvested into further efficiency projects (UBC, 2024). Algonquin College</w:t>
      </w:r>
      <w:r w:rsidR="00027B17">
        <w:rPr>
          <w:rFonts w:cs="Times New Roman"/>
        </w:rPr>
        <w:t>’</w:t>
      </w:r>
      <w:r w:rsidRPr="00D06382">
        <w:rPr>
          <w:rFonts w:cs="Times New Roman"/>
        </w:rPr>
        <w:t>s energy performance contract with Siemens Canada has achieved $3.2 million in annual energy savings while upgrading campus infrastructure (Algonquin College, 2021).</w:t>
      </w:r>
    </w:p>
    <w:p w14:paraId="61FAD31E" w14:textId="77777777" w:rsidR="00052B3F" w:rsidRPr="00D06382" w:rsidRDefault="00052B3F" w:rsidP="00052B3F">
      <w:pPr>
        <w:pStyle w:val="Heading3"/>
        <w:rPr>
          <w:rFonts w:asciiTheme="minorHAnsi" w:hAnsiTheme="minorHAnsi" w:cs="Times New Roman"/>
          <w:sz w:val="22"/>
          <w:szCs w:val="22"/>
        </w:rPr>
      </w:pPr>
      <w:bookmarkStart w:id="17" w:name="_Toc202742982"/>
      <w:r w:rsidRPr="00D06382">
        <w:rPr>
          <w:rFonts w:asciiTheme="minorHAnsi" w:hAnsiTheme="minorHAnsi" w:cs="Times New Roman"/>
          <w:sz w:val="22"/>
          <w:szCs w:val="22"/>
        </w:rPr>
        <w:lastRenderedPageBreak/>
        <w:t>Policy and Governance Frameworks</w:t>
      </w:r>
      <w:bookmarkEnd w:id="17"/>
    </w:p>
    <w:p w14:paraId="0FF15CA8" w14:textId="14638D2E" w:rsidR="00052B3F" w:rsidRPr="00D06382" w:rsidRDefault="00052B3F" w:rsidP="00052B3F">
      <w:pPr>
        <w:jc w:val="both"/>
        <w:rPr>
          <w:rFonts w:cs="Times New Roman"/>
        </w:rPr>
      </w:pPr>
      <w:r w:rsidRPr="00D06382">
        <w:rPr>
          <w:rFonts w:cs="Times New Roman"/>
        </w:rPr>
        <w:t xml:space="preserve">Effective governance structures and supportive policies are essential for implementing comprehensive green building strategies. </w:t>
      </w:r>
    </w:p>
    <w:p w14:paraId="73A94534" w14:textId="53049BAB" w:rsidR="00052B3F" w:rsidRPr="00D06382" w:rsidRDefault="00052B3F" w:rsidP="00052B3F">
      <w:pPr>
        <w:jc w:val="both"/>
        <w:rPr>
          <w:rFonts w:cs="Times New Roman"/>
        </w:rPr>
      </w:pPr>
      <w:r w:rsidRPr="00D06382">
        <w:rPr>
          <w:rFonts w:cs="Times New Roman"/>
        </w:rPr>
        <w:t>Vaughter et al. (2016) proposed a framework for sustainability governance in higher education institutions, emphasizing the need for clear lines of responsibility, cross-departmental collaboration, and mechanisms for monitoring and reporting progress. The authors highlighted the University of British Columbia</w:t>
      </w:r>
      <w:r w:rsidR="00027B17">
        <w:rPr>
          <w:rFonts w:cs="Times New Roman"/>
        </w:rPr>
        <w:t>’</w:t>
      </w:r>
      <w:r w:rsidRPr="00D06382">
        <w:rPr>
          <w:rFonts w:cs="Times New Roman"/>
        </w:rPr>
        <w:t>s Campus Sustainability Office as an example of effective centralized coordination of sustainability initiatives.</w:t>
      </w:r>
    </w:p>
    <w:p w14:paraId="3FD0C2C4" w14:textId="77777777" w:rsidR="00052B3F" w:rsidRPr="00D06382" w:rsidRDefault="00052B3F" w:rsidP="00052B3F">
      <w:pPr>
        <w:pStyle w:val="Heading3"/>
        <w:rPr>
          <w:rFonts w:asciiTheme="minorHAnsi" w:hAnsiTheme="minorHAnsi" w:cs="Times New Roman"/>
          <w:sz w:val="22"/>
          <w:szCs w:val="22"/>
        </w:rPr>
      </w:pPr>
      <w:bookmarkStart w:id="18" w:name="_Toc202742983"/>
      <w:r w:rsidRPr="00D06382">
        <w:rPr>
          <w:rFonts w:asciiTheme="minorHAnsi" w:hAnsiTheme="minorHAnsi" w:cs="Times New Roman"/>
          <w:sz w:val="22"/>
          <w:szCs w:val="22"/>
        </w:rPr>
        <w:t>Monitoring, Reporting, and Continuous Improvement</w:t>
      </w:r>
      <w:bookmarkEnd w:id="18"/>
    </w:p>
    <w:p w14:paraId="3842248B" w14:textId="4A2BC7BF" w:rsidR="00052B3F" w:rsidRPr="00D06382" w:rsidRDefault="00052B3F" w:rsidP="00052B3F">
      <w:pPr>
        <w:jc w:val="both"/>
        <w:rPr>
          <w:rFonts w:cs="Times New Roman"/>
        </w:rPr>
      </w:pPr>
      <w:r w:rsidRPr="00D06382">
        <w:rPr>
          <w:rFonts w:cs="Times New Roman"/>
        </w:rPr>
        <w:t>Monitoring and reporting building performance is crucial for achieving and maintaining sustainability goals. Lidstone et al. (2015) analyzed sustainability assessment tools used by Canadian universities, finding that while many institutions tracked key performance indicators, there was a need for more standardized and comprehensive reporting frameworks.</w:t>
      </w:r>
    </w:p>
    <w:p w14:paraId="54559BC6" w14:textId="4E7B3AD2" w:rsidR="00052B3F" w:rsidRPr="00D06382" w:rsidRDefault="00052B3F" w:rsidP="00052B3F">
      <w:pPr>
        <w:jc w:val="both"/>
        <w:rPr>
          <w:rFonts w:cs="Times New Roman"/>
        </w:rPr>
      </w:pPr>
      <w:r w:rsidRPr="00D06382">
        <w:rPr>
          <w:rFonts w:cs="Times New Roman"/>
        </w:rPr>
        <w:t>The Sustainability Tracking, Assessment &amp; Rating System (STARS) developed by the Association for the Advancement of Sustainability in Higher Education (AASHE) has emerged as a leading framework for holistic sustainability assessment in universities (Urbanski and Leal Filho, 2015). As of 2024, 42 Canadian institutions have participated in STARS reporting, providing a valuable benchmark for performance comparison (STARS, 2024).</w:t>
      </w:r>
    </w:p>
    <w:p w14:paraId="7345D836" w14:textId="77777777" w:rsidR="00052B3F" w:rsidRPr="00393FCF" w:rsidRDefault="00052B3F" w:rsidP="00393FCF">
      <w:pPr>
        <w:pStyle w:val="Heading2"/>
      </w:pPr>
      <w:bookmarkStart w:id="19" w:name="_Toc202742984"/>
      <w:r w:rsidRPr="00393FCF">
        <w:t>The Sustainability Tracking, Assessment &amp; Rating System (STARS)</w:t>
      </w:r>
      <w:bookmarkEnd w:id="19"/>
    </w:p>
    <w:p w14:paraId="4E601385" w14:textId="688C5EE2" w:rsidR="00052B3F" w:rsidRPr="00D06382" w:rsidRDefault="00052B3F" w:rsidP="00052B3F">
      <w:pPr>
        <w:jc w:val="both"/>
        <w:rPr>
          <w:rFonts w:cs="Times New Roman"/>
        </w:rPr>
      </w:pPr>
      <w:r w:rsidRPr="00D06382">
        <w:rPr>
          <w:rFonts w:cs="Times New Roman"/>
        </w:rPr>
        <w:t>A key framework that has emerged as a leading tool for assessing and benchmarking sustainability performance in higher education is the Sustainability Tracking, Assessment &amp; Rating System (STARS), developed by the Association for the Advancement of Sustainability in Higher Education (AASHE). STARS provides a comprehensive and standardized approach for institutions to measure and improve their sustainability efforts across various domains of campus operations and academics (AASHE, 2024).</w:t>
      </w:r>
    </w:p>
    <w:p w14:paraId="78F8F980" w14:textId="79A5B62C" w:rsidR="00052B3F" w:rsidRPr="00D06382" w:rsidRDefault="00052B3F" w:rsidP="00052B3F">
      <w:pPr>
        <w:jc w:val="both"/>
        <w:rPr>
          <w:rFonts w:cs="Times New Roman"/>
          <w:b/>
          <w:bCs/>
        </w:rPr>
      </w:pPr>
      <w:r w:rsidRPr="00D06382">
        <w:rPr>
          <w:rFonts w:cs="Times New Roman"/>
          <w:b/>
          <w:bCs/>
        </w:rPr>
        <w:t>Scope and Structure</w:t>
      </w:r>
    </w:p>
    <w:p w14:paraId="0288A115" w14:textId="77777777" w:rsidR="00052B3F" w:rsidRPr="00D06382" w:rsidRDefault="00052B3F" w:rsidP="00052B3F">
      <w:pPr>
        <w:jc w:val="both"/>
        <w:rPr>
          <w:rFonts w:cs="Times New Roman"/>
        </w:rPr>
      </w:pPr>
      <w:r w:rsidRPr="00D06382">
        <w:rPr>
          <w:rFonts w:cs="Times New Roman"/>
        </w:rPr>
        <w:t>STARS is designed to encompass the full spectrum of sustainability in higher education. The framework is organized into five main categories:</w:t>
      </w:r>
    </w:p>
    <w:p w14:paraId="4E986697" w14:textId="77777777" w:rsidR="00052B3F" w:rsidRPr="00D06382" w:rsidRDefault="00052B3F" w:rsidP="007D5ACF">
      <w:pPr>
        <w:numPr>
          <w:ilvl w:val="0"/>
          <w:numId w:val="20"/>
        </w:numPr>
        <w:spacing w:after="0" w:line="240" w:lineRule="auto"/>
        <w:jc w:val="both"/>
        <w:rPr>
          <w:rFonts w:cs="Times New Roman"/>
        </w:rPr>
      </w:pPr>
      <w:r w:rsidRPr="00D06382">
        <w:rPr>
          <w:rFonts w:cs="Times New Roman"/>
        </w:rPr>
        <w:t>Academics (AC): This category assesses the integration of sustainability into curriculum, research, and learning outcomes.</w:t>
      </w:r>
    </w:p>
    <w:p w14:paraId="47A47F08" w14:textId="77777777" w:rsidR="00052B3F" w:rsidRPr="00D06382" w:rsidRDefault="00052B3F" w:rsidP="007D5ACF">
      <w:pPr>
        <w:numPr>
          <w:ilvl w:val="0"/>
          <w:numId w:val="20"/>
        </w:numPr>
        <w:spacing w:after="0" w:line="240" w:lineRule="auto"/>
        <w:jc w:val="both"/>
        <w:rPr>
          <w:rFonts w:cs="Times New Roman"/>
        </w:rPr>
      </w:pPr>
      <w:r w:rsidRPr="00D06382">
        <w:rPr>
          <w:rFonts w:cs="Times New Roman"/>
        </w:rPr>
        <w:t>Engagement (EN): This evaluates sustainability-related outreach and partnerships within the campus community and beyond.</w:t>
      </w:r>
    </w:p>
    <w:p w14:paraId="0CAA2E06" w14:textId="77777777" w:rsidR="00052B3F" w:rsidRPr="00D06382" w:rsidRDefault="00052B3F" w:rsidP="007D5ACF">
      <w:pPr>
        <w:numPr>
          <w:ilvl w:val="0"/>
          <w:numId w:val="20"/>
        </w:numPr>
        <w:spacing w:after="0" w:line="240" w:lineRule="auto"/>
        <w:jc w:val="both"/>
        <w:rPr>
          <w:rFonts w:cs="Times New Roman"/>
        </w:rPr>
      </w:pPr>
      <w:r w:rsidRPr="00D06382">
        <w:rPr>
          <w:rFonts w:cs="Times New Roman"/>
        </w:rPr>
        <w:t>Operations (OP): This category examines the environmental performance of campus operations, including buildings, energy, water, waste, and transportation.</w:t>
      </w:r>
    </w:p>
    <w:p w14:paraId="77B46708" w14:textId="77777777" w:rsidR="00052B3F" w:rsidRPr="00D06382" w:rsidRDefault="00052B3F" w:rsidP="007D5ACF">
      <w:pPr>
        <w:numPr>
          <w:ilvl w:val="0"/>
          <w:numId w:val="20"/>
        </w:numPr>
        <w:spacing w:after="0" w:line="240" w:lineRule="auto"/>
        <w:jc w:val="both"/>
        <w:rPr>
          <w:rFonts w:cs="Times New Roman"/>
        </w:rPr>
      </w:pPr>
      <w:r w:rsidRPr="00D06382">
        <w:rPr>
          <w:rFonts w:cs="Times New Roman"/>
        </w:rPr>
        <w:t>Planning &amp; Administration (PA): This assesses institutional planning, decision-making processes, and investments related to sustainability.</w:t>
      </w:r>
    </w:p>
    <w:p w14:paraId="0D5F2DD2" w14:textId="1CE80696" w:rsidR="00052B3F" w:rsidRDefault="00052B3F" w:rsidP="007D5ACF">
      <w:pPr>
        <w:numPr>
          <w:ilvl w:val="0"/>
          <w:numId w:val="20"/>
        </w:numPr>
        <w:spacing w:after="0" w:line="240" w:lineRule="auto"/>
        <w:jc w:val="both"/>
        <w:rPr>
          <w:rFonts w:cs="Times New Roman"/>
        </w:rPr>
      </w:pPr>
      <w:r w:rsidRPr="00D06382">
        <w:rPr>
          <w:rFonts w:cs="Times New Roman"/>
        </w:rPr>
        <w:lastRenderedPageBreak/>
        <w:t>Innovation &amp; Leadership (IN): This category recognizes institutions for unique and innovative sustainability practices that may not be captured in the standard credits.</w:t>
      </w:r>
    </w:p>
    <w:p w14:paraId="53E350AE" w14:textId="77777777" w:rsidR="00393FCF" w:rsidRPr="00D06382" w:rsidRDefault="00393FCF" w:rsidP="00393FCF">
      <w:pPr>
        <w:spacing w:after="0" w:line="240" w:lineRule="auto"/>
        <w:jc w:val="both"/>
        <w:rPr>
          <w:rFonts w:cs="Times New Roman"/>
        </w:rPr>
      </w:pPr>
    </w:p>
    <w:p w14:paraId="60293DC3" w14:textId="69F76279" w:rsidR="00052B3F" w:rsidRPr="00D06382" w:rsidRDefault="00052B3F" w:rsidP="00052B3F">
      <w:pPr>
        <w:jc w:val="both"/>
        <w:rPr>
          <w:rFonts w:cs="Times New Roman"/>
        </w:rPr>
      </w:pPr>
      <w:r w:rsidRPr="00D06382">
        <w:rPr>
          <w:rFonts w:cs="Times New Roman"/>
        </w:rPr>
        <w:t>Within each category, there are specific credits for which institutions can earn points. The Operations category, most relevant to green building strategies, includes credits for Building Design and Construction (OP 1) and Building Operations and Maintenance (OP 2). These credits specifically evaluate an institution</w:t>
      </w:r>
      <w:r w:rsidR="00027B17">
        <w:rPr>
          <w:rFonts w:cs="Times New Roman"/>
        </w:rPr>
        <w:t>’</w:t>
      </w:r>
      <w:r w:rsidRPr="00D06382">
        <w:rPr>
          <w:rFonts w:cs="Times New Roman"/>
        </w:rPr>
        <w:t>s efforts to incorporate sustainability into its built environment (AASHE, 2024).</w:t>
      </w:r>
    </w:p>
    <w:p w14:paraId="2DFB2E95" w14:textId="654AAC98" w:rsidR="00052B3F" w:rsidRPr="00D06382" w:rsidRDefault="00052B3F" w:rsidP="00052B3F">
      <w:pPr>
        <w:jc w:val="both"/>
        <w:rPr>
          <w:rFonts w:cs="Times New Roman"/>
          <w:b/>
          <w:bCs/>
        </w:rPr>
      </w:pPr>
      <w:r w:rsidRPr="00D06382">
        <w:rPr>
          <w:rFonts w:cs="Times New Roman"/>
          <w:b/>
          <w:bCs/>
        </w:rPr>
        <w:t>Applicability and Participation</w:t>
      </w:r>
    </w:p>
    <w:p w14:paraId="0A702E51" w14:textId="6817578E" w:rsidR="00052B3F" w:rsidRPr="00D06382" w:rsidRDefault="00052B3F" w:rsidP="00052B3F">
      <w:pPr>
        <w:jc w:val="both"/>
        <w:rPr>
          <w:rFonts w:cs="Times New Roman"/>
        </w:rPr>
      </w:pPr>
      <w:r w:rsidRPr="00D06382">
        <w:rPr>
          <w:rFonts w:cs="Times New Roman"/>
        </w:rPr>
        <w:t xml:space="preserve">STARS is designed to be applicable to a wide range of higher education institutions, regardless of size, location, or type. As of 2023, over 1,000 institutions across 40 countries have registered to use the STARS reporting tool, with over 600 having submitted a STARS report (AASHE, 2024). </w:t>
      </w:r>
    </w:p>
    <w:p w14:paraId="7842B440" w14:textId="08800885" w:rsidR="00052B3F" w:rsidRPr="00393FCF" w:rsidRDefault="00052B3F" w:rsidP="00052B3F">
      <w:pPr>
        <w:jc w:val="both"/>
        <w:rPr>
          <w:rFonts w:cs="Times New Roman"/>
        </w:rPr>
      </w:pPr>
      <w:r w:rsidRPr="00D06382">
        <w:rPr>
          <w:rFonts w:cs="Times New Roman"/>
        </w:rPr>
        <w:t>The framework</w:t>
      </w:r>
      <w:r w:rsidR="00027B17">
        <w:rPr>
          <w:rFonts w:cs="Times New Roman"/>
        </w:rPr>
        <w:t>’</w:t>
      </w:r>
      <w:r w:rsidRPr="00D06382">
        <w:rPr>
          <w:rFonts w:cs="Times New Roman"/>
        </w:rPr>
        <w:t>s flexibility allows institutions to report on credits that are relevant to their context while also providing a standardized set of metrics for comparison across the sector. This balance between customization and standardization has contributed to its widespread adoption and recognition as a leading sustainability assessment tool for higher education (ibid).</w:t>
      </w:r>
    </w:p>
    <w:p w14:paraId="451176AD" w14:textId="7CCC31BC" w:rsidR="00052B3F" w:rsidRPr="00D06382" w:rsidRDefault="00052B3F" w:rsidP="00052B3F">
      <w:pPr>
        <w:jc w:val="both"/>
        <w:rPr>
          <w:rFonts w:cs="Times New Roman"/>
          <w:b/>
          <w:bCs/>
        </w:rPr>
      </w:pPr>
      <w:r w:rsidRPr="00D06382">
        <w:rPr>
          <w:rFonts w:cs="Times New Roman"/>
          <w:b/>
          <w:bCs/>
        </w:rPr>
        <w:t>Assessment Process and Ratings</w:t>
      </w:r>
    </w:p>
    <w:p w14:paraId="634C5BE8" w14:textId="409CF66D" w:rsidR="00052B3F" w:rsidRPr="00D06382" w:rsidRDefault="00052B3F" w:rsidP="00052B3F">
      <w:pPr>
        <w:jc w:val="both"/>
        <w:rPr>
          <w:rFonts w:cs="Times New Roman"/>
        </w:rPr>
      </w:pPr>
      <w:r w:rsidRPr="00D06382">
        <w:rPr>
          <w:rFonts w:cs="Times New Roman"/>
        </w:rPr>
        <w:t>Institutions participating in STARS undergo a rigorous self-assessment process, collecting and reporting data across all applicable credits. The AASHE provides detailed technical manuals and reporting tools to guide this process. Once submitted, reports are reviewed by AASHE staff to ensure accuracy and consistency.</w:t>
      </w:r>
    </w:p>
    <w:p w14:paraId="036ED0DD" w14:textId="77777777" w:rsidR="00052B3F" w:rsidRPr="00D06382" w:rsidRDefault="00052B3F" w:rsidP="00052B3F">
      <w:pPr>
        <w:jc w:val="both"/>
        <w:rPr>
          <w:rFonts w:cs="Times New Roman"/>
        </w:rPr>
      </w:pPr>
      <w:r w:rsidRPr="00D06382">
        <w:rPr>
          <w:rFonts w:cs="Times New Roman"/>
        </w:rPr>
        <w:t>Based on the total points earned across all categories, institutions receive a STARS rating:</w:t>
      </w:r>
    </w:p>
    <w:p w14:paraId="4D4F723F" w14:textId="77777777" w:rsidR="00052B3F" w:rsidRPr="00D06382" w:rsidRDefault="00052B3F" w:rsidP="007D5ACF">
      <w:pPr>
        <w:numPr>
          <w:ilvl w:val="0"/>
          <w:numId w:val="21"/>
        </w:numPr>
        <w:spacing w:after="0" w:line="240" w:lineRule="auto"/>
        <w:jc w:val="both"/>
        <w:rPr>
          <w:rFonts w:cs="Times New Roman"/>
        </w:rPr>
      </w:pPr>
      <w:r w:rsidRPr="00D06382">
        <w:rPr>
          <w:rFonts w:cs="Times New Roman"/>
        </w:rPr>
        <w:t>Platinum: 85 points or more</w:t>
      </w:r>
    </w:p>
    <w:p w14:paraId="7BDEAB0F" w14:textId="77777777" w:rsidR="00052B3F" w:rsidRPr="00D06382" w:rsidRDefault="00052B3F" w:rsidP="007D5ACF">
      <w:pPr>
        <w:numPr>
          <w:ilvl w:val="0"/>
          <w:numId w:val="21"/>
        </w:numPr>
        <w:spacing w:after="0" w:line="240" w:lineRule="auto"/>
        <w:jc w:val="both"/>
        <w:rPr>
          <w:rFonts w:cs="Times New Roman"/>
        </w:rPr>
      </w:pPr>
      <w:r w:rsidRPr="00D06382">
        <w:rPr>
          <w:rFonts w:cs="Times New Roman"/>
        </w:rPr>
        <w:t>Gold: 65-84 points</w:t>
      </w:r>
    </w:p>
    <w:p w14:paraId="285545ED" w14:textId="77777777" w:rsidR="00052B3F" w:rsidRPr="00D06382" w:rsidRDefault="00052B3F" w:rsidP="007D5ACF">
      <w:pPr>
        <w:numPr>
          <w:ilvl w:val="0"/>
          <w:numId w:val="21"/>
        </w:numPr>
        <w:spacing w:after="0" w:line="240" w:lineRule="auto"/>
        <w:jc w:val="both"/>
        <w:rPr>
          <w:rFonts w:cs="Times New Roman"/>
        </w:rPr>
      </w:pPr>
      <w:r w:rsidRPr="00D06382">
        <w:rPr>
          <w:rFonts w:cs="Times New Roman"/>
        </w:rPr>
        <w:t>Silver: 45-64 points</w:t>
      </w:r>
    </w:p>
    <w:p w14:paraId="6A686917" w14:textId="77777777" w:rsidR="00052B3F" w:rsidRPr="00D06382" w:rsidRDefault="00052B3F" w:rsidP="007D5ACF">
      <w:pPr>
        <w:numPr>
          <w:ilvl w:val="0"/>
          <w:numId w:val="21"/>
        </w:numPr>
        <w:spacing w:after="0" w:line="240" w:lineRule="auto"/>
        <w:jc w:val="both"/>
        <w:rPr>
          <w:rFonts w:cs="Times New Roman"/>
        </w:rPr>
      </w:pPr>
      <w:r w:rsidRPr="00D06382">
        <w:rPr>
          <w:rFonts w:cs="Times New Roman"/>
        </w:rPr>
        <w:t>Bronze: 25-44 points</w:t>
      </w:r>
    </w:p>
    <w:p w14:paraId="575693D7" w14:textId="0F48CF9C" w:rsidR="00052B3F" w:rsidRDefault="00052B3F" w:rsidP="007D5ACF">
      <w:pPr>
        <w:numPr>
          <w:ilvl w:val="0"/>
          <w:numId w:val="21"/>
        </w:numPr>
        <w:spacing w:after="0" w:line="240" w:lineRule="auto"/>
        <w:jc w:val="both"/>
        <w:rPr>
          <w:rFonts w:cs="Times New Roman"/>
        </w:rPr>
      </w:pPr>
      <w:r w:rsidRPr="00D06382">
        <w:rPr>
          <w:rFonts w:cs="Times New Roman"/>
        </w:rPr>
        <w:t>Reporter: For institutions that wish to make their data public without pursuing a rating</w:t>
      </w:r>
    </w:p>
    <w:p w14:paraId="54ABB637" w14:textId="77777777" w:rsidR="00393FCF" w:rsidRPr="00D06382" w:rsidRDefault="00393FCF" w:rsidP="00393FCF">
      <w:pPr>
        <w:spacing w:after="0" w:line="240" w:lineRule="auto"/>
        <w:ind w:left="720"/>
        <w:jc w:val="both"/>
        <w:rPr>
          <w:rFonts w:cs="Times New Roman"/>
        </w:rPr>
      </w:pPr>
    </w:p>
    <w:p w14:paraId="5537D1DA" w14:textId="378B3D57" w:rsidR="00052B3F" w:rsidRPr="00D06382" w:rsidRDefault="00052B3F" w:rsidP="00052B3F">
      <w:pPr>
        <w:jc w:val="both"/>
        <w:rPr>
          <w:rFonts w:cs="Times New Roman"/>
        </w:rPr>
      </w:pPr>
      <w:r w:rsidRPr="00D06382">
        <w:rPr>
          <w:rFonts w:cs="Times New Roman"/>
        </w:rPr>
        <w:t>These ratings provide a clear, externally recognized indicator of an institution</w:t>
      </w:r>
      <w:r w:rsidR="00027B17">
        <w:rPr>
          <w:rFonts w:cs="Times New Roman"/>
        </w:rPr>
        <w:t>’</w:t>
      </w:r>
      <w:r w:rsidRPr="00D06382">
        <w:rPr>
          <w:rFonts w:cs="Times New Roman"/>
        </w:rPr>
        <w:t>s overall sustainability performance. However, it</w:t>
      </w:r>
      <w:r w:rsidR="00027B17">
        <w:rPr>
          <w:rFonts w:cs="Times New Roman"/>
        </w:rPr>
        <w:t>’</w:t>
      </w:r>
      <w:r w:rsidRPr="00D06382">
        <w:rPr>
          <w:rFonts w:cs="Times New Roman"/>
        </w:rPr>
        <w:t>s important to note that the primary value of STARS lies not in the rating itself but in the comprehensive assessment process and the data it generates for informing strategic decision-making.</w:t>
      </w:r>
    </w:p>
    <w:p w14:paraId="4C8651A3" w14:textId="60A69A9F" w:rsidR="00052B3F" w:rsidRPr="00D06382" w:rsidRDefault="00052B3F" w:rsidP="00052B3F">
      <w:pPr>
        <w:jc w:val="both"/>
        <w:rPr>
          <w:rFonts w:cs="Times New Roman"/>
          <w:b/>
          <w:bCs/>
        </w:rPr>
      </w:pPr>
      <w:r w:rsidRPr="00D06382">
        <w:rPr>
          <w:rFonts w:cs="Times New Roman"/>
          <w:b/>
          <w:bCs/>
        </w:rPr>
        <w:t>Relevance to Green Building Strategies</w:t>
      </w:r>
    </w:p>
    <w:p w14:paraId="2C750522" w14:textId="7286BC98" w:rsidR="00052B3F" w:rsidRPr="00D06382" w:rsidRDefault="00052B3F" w:rsidP="00052B3F">
      <w:pPr>
        <w:jc w:val="both"/>
        <w:rPr>
          <w:rFonts w:cs="Times New Roman"/>
        </w:rPr>
      </w:pPr>
      <w:r w:rsidRPr="00D06382">
        <w:rPr>
          <w:rFonts w:cs="Times New Roman"/>
        </w:rPr>
        <w:t>Within the context of green building strategies, STARS provides several key benefits:</w:t>
      </w:r>
    </w:p>
    <w:p w14:paraId="2052B2C9" w14:textId="77777777" w:rsidR="00052B3F" w:rsidRPr="00D06382" w:rsidRDefault="00052B3F" w:rsidP="007D5ACF">
      <w:pPr>
        <w:numPr>
          <w:ilvl w:val="0"/>
          <w:numId w:val="23"/>
        </w:numPr>
        <w:spacing w:after="0" w:line="240" w:lineRule="auto"/>
        <w:jc w:val="both"/>
        <w:rPr>
          <w:rFonts w:cs="Times New Roman"/>
        </w:rPr>
      </w:pPr>
      <w:r w:rsidRPr="00D06382">
        <w:rPr>
          <w:rFonts w:cs="Times New Roman"/>
        </w:rPr>
        <w:lastRenderedPageBreak/>
        <w:t>Benchmarking: The Building Design and Construction (OP 1) and Building Operations and Maintenance (OP 2) credits allow institutions to benchmark their performance against peers and track progress over time. This can help identify areas for improvement and set meaningful targets.</w:t>
      </w:r>
    </w:p>
    <w:p w14:paraId="1FA17CCC" w14:textId="77777777" w:rsidR="00052B3F" w:rsidRPr="00D06382" w:rsidRDefault="00052B3F" w:rsidP="007D5ACF">
      <w:pPr>
        <w:numPr>
          <w:ilvl w:val="0"/>
          <w:numId w:val="23"/>
        </w:numPr>
        <w:spacing w:after="0" w:line="240" w:lineRule="auto"/>
        <w:jc w:val="both"/>
        <w:rPr>
          <w:rFonts w:cs="Times New Roman"/>
        </w:rPr>
      </w:pPr>
      <w:r w:rsidRPr="00D06382">
        <w:rPr>
          <w:rFonts w:cs="Times New Roman"/>
        </w:rPr>
        <w:t>Holistic Approach: STARS encourages institutions to consider sustainability in buildings beyond just energy efficiency, encompassing aspects such as water use, indoor environmental quality, and sustainable materials. This aligns with the holistic approach advocated by leading green building standards.</w:t>
      </w:r>
    </w:p>
    <w:p w14:paraId="113D654B" w14:textId="15D83893" w:rsidR="00052B3F" w:rsidRPr="00D06382" w:rsidRDefault="00052B3F" w:rsidP="007D5ACF">
      <w:pPr>
        <w:numPr>
          <w:ilvl w:val="0"/>
          <w:numId w:val="23"/>
        </w:numPr>
        <w:spacing w:after="0" w:line="240" w:lineRule="auto"/>
        <w:jc w:val="both"/>
        <w:rPr>
          <w:rFonts w:cs="Times New Roman"/>
        </w:rPr>
      </w:pPr>
      <w:r w:rsidRPr="00D06382">
        <w:rPr>
          <w:rFonts w:cs="Times New Roman"/>
        </w:rPr>
        <w:t>Integration with Academics: The framework</w:t>
      </w:r>
      <w:r w:rsidR="00027B17">
        <w:rPr>
          <w:rFonts w:cs="Times New Roman"/>
        </w:rPr>
        <w:t>’</w:t>
      </w:r>
      <w:r w:rsidRPr="00D06382">
        <w:rPr>
          <w:rFonts w:cs="Times New Roman"/>
        </w:rPr>
        <w:t xml:space="preserve">s emphasis on connecting operational sustainability with curriculum and research can help institutions leverage their green buildings as </w:t>
      </w:r>
      <w:r w:rsidR="00A8627F">
        <w:rPr>
          <w:rFonts w:cs="Times New Roman"/>
        </w:rPr>
        <w:t>“</w:t>
      </w:r>
      <w:r w:rsidRPr="00D06382">
        <w:rPr>
          <w:rFonts w:cs="Times New Roman"/>
        </w:rPr>
        <w:t>living laboratories</w:t>
      </w:r>
      <w:r w:rsidR="00A8627F">
        <w:rPr>
          <w:rFonts w:cs="Times New Roman"/>
        </w:rPr>
        <w:t>”</w:t>
      </w:r>
      <w:r w:rsidRPr="00D06382">
        <w:rPr>
          <w:rFonts w:cs="Times New Roman"/>
        </w:rPr>
        <w:t xml:space="preserve"> for sustainability education and innovation.</w:t>
      </w:r>
    </w:p>
    <w:p w14:paraId="7B63B726" w14:textId="77777777" w:rsidR="00052B3F" w:rsidRPr="00D06382" w:rsidRDefault="00052B3F" w:rsidP="007D5ACF">
      <w:pPr>
        <w:numPr>
          <w:ilvl w:val="0"/>
          <w:numId w:val="23"/>
        </w:numPr>
        <w:spacing w:after="0" w:line="240" w:lineRule="auto"/>
        <w:jc w:val="both"/>
        <w:rPr>
          <w:rFonts w:cs="Times New Roman"/>
        </w:rPr>
      </w:pPr>
      <w:r w:rsidRPr="00D06382">
        <w:rPr>
          <w:rFonts w:cs="Times New Roman"/>
        </w:rPr>
        <w:t>Continuous Improvement: The regular reporting cycle (typically every three years) encourages ongoing assessment and improvement of sustainability initiatives, including those related to green buildings.</w:t>
      </w:r>
    </w:p>
    <w:p w14:paraId="3B7622E4" w14:textId="77777777" w:rsidR="00052B3F" w:rsidRPr="00D06382" w:rsidRDefault="00052B3F" w:rsidP="007D5ACF">
      <w:pPr>
        <w:numPr>
          <w:ilvl w:val="0"/>
          <w:numId w:val="23"/>
        </w:numPr>
        <w:spacing w:after="0" w:line="240" w:lineRule="auto"/>
        <w:jc w:val="both"/>
        <w:rPr>
          <w:rFonts w:cs="Times New Roman"/>
        </w:rPr>
      </w:pPr>
      <w:r w:rsidRPr="00D06382">
        <w:rPr>
          <w:rFonts w:cs="Times New Roman"/>
        </w:rPr>
        <w:t>Transparency and Accountability: By making STARS reports publicly available, institutions demonstrate transparency in their sustainability efforts, which can enhance stakeholder engagement and accountability.</w:t>
      </w:r>
    </w:p>
    <w:p w14:paraId="3E2568DC" w14:textId="77777777" w:rsidR="00052B3F" w:rsidRPr="00D06382" w:rsidRDefault="00052B3F" w:rsidP="00052B3F">
      <w:pPr>
        <w:jc w:val="both"/>
        <w:rPr>
          <w:rFonts w:cs="Times New Roman"/>
        </w:rPr>
      </w:pPr>
    </w:p>
    <w:p w14:paraId="460D6144" w14:textId="35FE1692" w:rsidR="00052B3F" w:rsidRPr="00D06382" w:rsidRDefault="00052B3F" w:rsidP="00052B3F">
      <w:pPr>
        <w:jc w:val="both"/>
        <w:rPr>
          <w:rFonts w:cs="Times New Roman"/>
          <w:b/>
          <w:bCs/>
        </w:rPr>
      </w:pPr>
      <w:r w:rsidRPr="00D06382">
        <w:rPr>
          <w:rFonts w:cs="Times New Roman"/>
          <w:b/>
          <w:bCs/>
        </w:rPr>
        <w:t>Limitations and Considerations</w:t>
      </w:r>
    </w:p>
    <w:p w14:paraId="1E3FCF7D" w14:textId="6FB4A28C" w:rsidR="00052B3F" w:rsidRPr="00D06382" w:rsidRDefault="00052B3F" w:rsidP="00052B3F">
      <w:pPr>
        <w:jc w:val="both"/>
        <w:rPr>
          <w:rFonts w:cs="Times New Roman"/>
        </w:rPr>
      </w:pPr>
      <w:r w:rsidRPr="00D06382">
        <w:rPr>
          <w:rFonts w:cs="Times New Roman"/>
        </w:rPr>
        <w:t>While STARS provides a robust framework for assessing sustainability in higher education, it is important to recognize its limitations. Lidstone et al. (2015) note that the self-reporting nature of STARS can lead to inconsistencies in data quality and interpretation across institutions. Additionally, the broad scope of STARS means that it may not provide the depth of assessment required for highly specialized aspects of sustainability, such as detailed building performance metrics.</w:t>
      </w:r>
    </w:p>
    <w:p w14:paraId="70414BF3" w14:textId="7FCCC7F2" w:rsidR="00052B3F" w:rsidRPr="00D06382" w:rsidRDefault="00052B3F" w:rsidP="00052B3F">
      <w:pPr>
        <w:jc w:val="both"/>
        <w:rPr>
          <w:rFonts w:cs="Times New Roman"/>
        </w:rPr>
      </w:pPr>
      <w:r w:rsidRPr="00D06382">
        <w:rPr>
          <w:rFonts w:cs="Times New Roman"/>
        </w:rPr>
        <w:t>Furthermore, achieving high scores in assessment frameworks like STARS does not necessarily translate to transformative change if not accompanied by strong institutional commitment and supportive governance structures.</w:t>
      </w:r>
    </w:p>
    <w:p w14:paraId="1B38AA79" w14:textId="6E1F8F1D" w:rsidR="00052B3F" w:rsidRPr="00D06382" w:rsidRDefault="00052B3F" w:rsidP="00052B3F">
      <w:pPr>
        <w:jc w:val="both"/>
        <w:rPr>
          <w:rFonts w:cs="Times New Roman"/>
        </w:rPr>
      </w:pPr>
      <w:r w:rsidRPr="00D06382">
        <w:rPr>
          <w:rFonts w:cs="Times New Roman"/>
        </w:rPr>
        <w:t xml:space="preserve">The STARS framework represents a significant advancement in standardizing sustainability assessment and reporting in higher education. Its comprehensive approach makes it a valuable tool for institutions developing and implementing sustainable building strategies. </w:t>
      </w:r>
    </w:p>
    <w:p w14:paraId="3598B637" w14:textId="77777777" w:rsidR="00052B3F" w:rsidRPr="00D06382" w:rsidRDefault="00052B3F" w:rsidP="00052B3F">
      <w:pPr>
        <w:jc w:val="both"/>
        <w:rPr>
          <w:rFonts w:cs="Times New Roman"/>
        </w:rPr>
      </w:pPr>
      <w:r w:rsidRPr="00D06382">
        <w:rPr>
          <w:rFonts w:cs="Times New Roman"/>
        </w:rPr>
        <w:t>York University can draw on the best practices and lessons learned from other institutions while tailoring its approach to its unique context and priorities as it develops its green building strategy.</w:t>
      </w:r>
    </w:p>
    <w:p w14:paraId="621F2C90" w14:textId="4BC243A5" w:rsidR="00052B3F" w:rsidRPr="009D1CE1" w:rsidRDefault="00052B3F" w:rsidP="009D1CE1">
      <w:pPr>
        <w:pStyle w:val="Heading2"/>
      </w:pPr>
      <w:bookmarkStart w:id="20" w:name="_Toc202742985"/>
      <w:r w:rsidRPr="009D1CE1">
        <w:t>Times Higher Education (THE) Impact Rankings</w:t>
      </w:r>
      <w:bookmarkEnd w:id="20"/>
    </w:p>
    <w:p w14:paraId="60FD82CD" w14:textId="556BD7F9" w:rsidR="00052B3F" w:rsidRPr="00D06382" w:rsidRDefault="00052B3F" w:rsidP="00052B3F">
      <w:pPr>
        <w:jc w:val="both"/>
        <w:rPr>
          <w:rFonts w:cs="Times New Roman"/>
        </w:rPr>
      </w:pPr>
      <w:r w:rsidRPr="00D06382">
        <w:rPr>
          <w:rFonts w:cs="Times New Roman"/>
        </w:rPr>
        <w:t>In addition to institution-specific sustainability strategies and frameworks like STARS, global ranking systems have emerged to assess and compare universities</w:t>
      </w:r>
      <w:r w:rsidR="00027B17">
        <w:rPr>
          <w:rFonts w:cs="Times New Roman"/>
        </w:rPr>
        <w:t>’</w:t>
      </w:r>
      <w:r w:rsidRPr="00D06382">
        <w:rPr>
          <w:rFonts w:cs="Times New Roman"/>
        </w:rPr>
        <w:t xml:space="preserve"> contributions to </w:t>
      </w:r>
      <w:r w:rsidRPr="00D06382">
        <w:rPr>
          <w:rFonts w:cs="Times New Roman"/>
        </w:rPr>
        <w:lastRenderedPageBreak/>
        <w:t>sustainability and social impact. One of the most prominent of these is the Times Higher Education (THE) Impact Rankings, launched in 2019. This ranking system is unique in its focus on measuring universities</w:t>
      </w:r>
      <w:r w:rsidR="00027B17">
        <w:rPr>
          <w:rFonts w:cs="Times New Roman"/>
        </w:rPr>
        <w:t>’</w:t>
      </w:r>
      <w:r w:rsidRPr="00D06382">
        <w:rPr>
          <w:rFonts w:cs="Times New Roman"/>
        </w:rPr>
        <w:t xml:space="preserve"> success in delivering the United Nations</w:t>
      </w:r>
      <w:r w:rsidR="00027B17">
        <w:rPr>
          <w:rFonts w:cs="Times New Roman"/>
        </w:rPr>
        <w:t>’</w:t>
      </w:r>
      <w:r w:rsidRPr="00D06382">
        <w:rPr>
          <w:rFonts w:cs="Times New Roman"/>
        </w:rPr>
        <w:t xml:space="preserve"> Sustainable Development Goals (SDGs) (Times Higher Education, 2023a).</w:t>
      </w:r>
    </w:p>
    <w:p w14:paraId="4546D939" w14:textId="76A9F15F" w:rsidR="00052B3F" w:rsidRPr="00D06382" w:rsidRDefault="00052B3F" w:rsidP="00052B3F">
      <w:pPr>
        <w:jc w:val="both"/>
        <w:rPr>
          <w:rFonts w:cs="Times New Roman"/>
          <w:b/>
          <w:bCs/>
        </w:rPr>
      </w:pPr>
      <w:r w:rsidRPr="00D06382">
        <w:rPr>
          <w:rFonts w:cs="Times New Roman"/>
          <w:b/>
          <w:bCs/>
        </w:rPr>
        <w:t>Scope and Structure</w:t>
      </w:r>
    </w:p>
    <w:p w14:paraId="3766AF1C" w14:textId="48DE62A8" w:rsidR="00052B3F" w:rsidRPr="00D06382" w:rsidRDefault="00052B3F" w:rsidP="00052B3F">
      <w:pPr>
        <w:jc w:val="both"/>
        <w:rPr>
          <w:rFonts w:cs="Times New Roman"/>
        </w:rPr>
      </w:pPr>
      <w:r w:rsidRPr="00D06382">
        <w:rPr>
          <w:rFonts w:cs="Times New Roman"/>
        </w:rPr>
        <w:t>The THE Impact Rankings evaluate universities against all 17 SDGs, providing a comprehensive assessment of an institution</w:t>
      </w:r>
      <w:r w:rsidR="00027B17">
        <w:rPr>
          <w:rFonts w:cs="Times New Roman"/>
        </w:rPr>
        <w:t>’</w:t>
      </w:r>
      <w:r w:rsidRPr="00D06382">
        <w:rPr>
          <w:rFonts w:cs="Times New Roman"/>
        </w:rPr>
        <w:t>s impact on society, beyond traditional academic metrics. The ranking includes metrics on universities</w:t>
      </w:r>
      <w:r w:rsidR="00027B17">
        <w:rPr>
          <w:rFonts w:cs="Times New Roman"/>
        </w:rPr>
        <w:t>’</w:t>
      </w:r>
      <w:r w:rsidRPr="00D06382">
        <w:rPr>
          <w:rFonts w:cs="Times New Roman"/>
        </w:rPr>
        <w:t xml:space="preserve"> research on the SDGs, their teaching and academic programs, outreach, and stewardship of their resources (Sustainable Development Solutions Network, 2020).</w:t>
      </w:r>
    </w:p>
    <w:p w14:paraId="5962D60B" w14:textId="6EFFF26E" w:rsidR="00052B3F" w:rsidRPr="00D06382" w:rsidRDefault="00052B3F" w:rsidP="00052B3F">
      <w:pPr>
        <w:jc w:val="both"/>
        <w:rPr>
          <w:rFonts w:cs="Times New Roman"/>
        </w:rPr>
      </w:pPr>
      <w:r w:rsidRPr="00D06382">
        <w:rPr>
          <w:rFonts w:cs="Times New Roman"/>
        </w:rPr>
        <w:t>Key areas assessed include:</w:t>
      </w:r>
    </w:p>
    <w:p w14:paraId="3FBA4853" w14:textId="77777777" w:rsidR="00052B3F" w:rsidRPr="00D06382" w:rsidRDefault="00052B3F" w:rsidP="007D5ACF">
      <w:pPr>
        <w:numPr>
          <w:ilvl w:val="0"/>
          <w:numId w:val="69"/>
        </w:numPr>
        <w:spacing w:after="0" w:line="240" w:lineRule="auto"/>
        <w:jc w:val="both"/>
        <w:rPr>
          <w:rFonts w:cs="Times New Roman"/>
        </w:rPr>
      </w:pPr>
      <w:r w:rsidRPr="00D06382">
        <w:rPr>
          <w:rFonts w:cs="Times New Roman"/>
        </w:rPr>
        <w:t>Research: The volume, impact, and excellence of research related to each SDG.</w:t>
      </w:r>
    </w:p>
    <w:p w14:paraId="68757A4E" w14:textId="77777777" w:rsidR="00052B3F" w:rsidRPr="00D06382" w:rsidRDefault="00052B3F" w:rsidP="007D5ACF">
      <w:pPr>
        <w:numPr>
          <w:ilvl w:val="0"/>
          <w:numId w:val="69"/>
        </w:numPr>
        <w:spacing w:after="0" w:line="240" w:lineRule="auto"/>
        <w:jc w:val="both"/>
        <w:rPr>
          <w:rFonts w:cs="Times New Roman"/>
        </w:rPr>
      </w:pPr>
      <w:r w:rsidRPr="00D06382">
        <w:rPr>
          <w:rFonts w:cs="Times New Roman"/>
        </w:rPr>
        <w:t>Teaching: The extent to which SDGs are incorporated into curriculum and academic programs.</w:t>
      </w:r>
    </w:p>
    <w:p w14:paraId="7DE20096" w14:textId="77777777" w:rsidR="00052B3F" w:rsidRPr="00D06382" w:rsidRDefault="00052B3F" w:rsidP="007D5ACF">
      <w:pPr>
        <w:numPr>
          <w:ilvl w:val="0"/>
          <w:numId w:val="69"/>
        </w:numPr>
        <w:spacing w:after="0" w:line="240" w:lineRule="auto"/>
        <w:jc w:val="both"/>
        <w:rPr>
          <w:rFonts w:cs="Times New Roman"/>
        </w:rPr>
      </w:pPr>
      <w:r w:rsidRPr="00D06382">
        <w:rPr>
          <w:rFonts w:cs="Times New Roman"/>
        </w:rPr>
        <w:t>Outreach: Collaboration with other countries, promotion of best practices, and publication of SDG reports.</w:t>
      </w:r>
    </w:p>
    <w:p w14:paraId="623D7D2A" w14:textId="1F812091" w:rsidR="00052B3F" w:rsidRPr="00D06382" w:rsidRDefault="00052B3F" w:rsidP="007D5ACF">
      <w:pPr>
        <w:numPr>
          <w:ilvl w:val="0"/>
          <w:numId w:val="69"/>
        </w:numPr>
        <w:spacing w:after="0" w:line="240" w:lineRule="auto"/>
        <w:jc w:val="both"/>
        <w:rPr>
          <w:rFonts w:cs="Times New Roman"/>
        </w:rPr>
      </w:pPr>
      <w:r w:rsidRPr="00D06382">
        <w:rPr>
          <w:rFonts w:cs="Times New Roman"/>
        </w:rPr>
        <w:t>Stewardship: Universities</w:t>
      </w:r>
      <w:r w:rsidR="00027B17">
        <w:rPr>
          <w:rFonts w:cs="Times New Roman"/>
        </w:rPr>
        <w:t>’</w:t>
      </w:r>
      <w:r w:rsidRPr="00D06382">
        <w:rPr>
          <w:rFonts w:cs="Times New Roman"/>
        </w:rPr>
        <w:t xml:space="preserve"> performance in areas such as carbon reduction, ethical practices, and gender equality.</w:t>
      </w:r>
    </w:p>
    <w:p w14:paraId="6BF7AC11" w14:textId="77777777" w:rsidR="00052B3F" w:rsidRPr="00D06382" w:rsidRDefault="00052B3F" w:rsidP="00052B3F">
      <w:pPr>
        <w:jc w:val="both"/>
        <w:rPr>
          <w:rFonts w:cs="Times New Roman"/>
        </w:rPr>
      </w:pPr>
    </w:p>
    <w:p w14:paraId="1790F307" w14:textId="77777777" w:rsidR="00052B3F" w:rsidRPr="00D06382" w:rsidRDefault="00052B3F" w:rsidP="00052B3F">
      <w:pPr>
        <w:jc w:val="both"/>
        <w:rPr>
          <w:rFonts w:cs="Times New Roman"/>
          <w:b/>
          <w:bCs/>
        </w:rPr>
      </w:pPr>
      <w:r w:rsidRPr="00D06382">
        <w:rPr>
          <w:rFonts w:cs="Times New Roman"/>
          <w:b/>
          <w:bCs/>
        </w:rPr>
        <w:t>Participation and Methodology</w:t>
      </w:r>
    </w:p>
    <w:p w14:paraId="4AE49AF0" w14:textId="77777777" w:rsidR="00052B3F" w:rsidRPr="00D06382" w:rsidRDefault="00052B3F" w:rsidP="00052B3F">
      <w:pPr>
        <w:jc w:val="both"/>
        <w:rPr>
          <w:rFonts w:cs="Times New Roman"/>
        </w:rPr>
      </w:pPr>
      <w:r w:rsidRPr="00D06382">
        <w:rPr>
          <w:rFonts w:cs="Times New Roman"/>
        </w:rPr>
        <w:t>Universities can choose which SDGs they wish to be evaluated on, with SDG 17 (Partnerships for the Goals) being compulsory. The overall ranking is then calculated based on the score for SDG 17 and the three highest-scoring SDGs for each university. This approach allows institutions to showcase their strengths while encouraging improvement across all areas of sustainable development (Times Higher Education, 2023b).</w:t>
      </w:r>
    </w:p>
    <w:p w14:paraId="771F2534" w14:textId="6C04632A" w:rsidR="00052B3F" w:rsidRPr="00D06382" w:rsidRDefault="00052B3F" w:rsidP="00052B3F">
      <w:pPr>
        <w:jc w:val="both"/>
        <w:rPr>
          <w:rFonts w:cs="Times New Roman"/>
          <w:b/>
          <w:bCs/>
        </w:rPr>
      </w:pPr>
      <w:r w:rsidRPr="00D06382">
        <w:rPr>
          <w:rFonts w:cs="Times New Roman"/>
          <w:b/>
          <w:bCs/>
        </w:rPr>
        <w:t>Relevance to Green Building Strategies</w:t>
      </w:r>
    </w:p>
    <w:p w14:paraId="29A1C9BD" w14:textId="7F5D302D" w:rsidR="00052B3F" w:rsidRPr="00D06382" w:rsidRDefault="00052B3F" w:rsidP="00052B3F">
      <w:pPr>
        <w:jc w:val="both"/>
        <w:rPr>
          <w:rFonts w:cs="Times New Roman"/>
        </w:rPr>
      </w:pPr>
      <w:r w:rsidRPr="00D06382">
        <w:rPr>
          <w:rFonts w:cs="Times New Roman"/>
        </w:rPr>
        <w:t>For institutions developing green building strategies, the THE Impact Rankings aim to provide valuable benchmarks and incentives, particularly in relation to SDG 11 Sustainable Cities and Communities, SDG 7 Affordable and Clean Energy, and SDG 13 Climate Action. These SDGs directly relate to aspects of sustainable building design, energy efficiency, and carbon reduction.</w:t>
      </w:r>
    </w:p>
    <w:p w14:paraId="2C680B6D" w14:textId="350E1A2C" w:rsidR="00052B3F" w:rsidRPr="00D06382" w:rsidRDefault="00052B3F" w:rsidP="00052B3F">
      <w:pPr>
        <w:jc w:val="both"/>
        <w:rPr>
          <w:rFonts w:cs="Times New Roman"/>
        </w:rPr>
      </w:pPr>
      <w:r w:rsidRPr="00D06382">
        <w:rPr>
          <w:rFonts w:cs="Times New Roman"/>
        </w:rPr>
        <w:t>Participation in the THE Impact Rankings can drive institutions to:</w:t>
      </w:r>
    </w:p>
    <w:p w14:paraId="2E8B2C6A" w14:textId="77777777" w:rsidR="00052B3F" w:rsidRPr="00D06382" w:rsidRDefault="00052B3F" w:rsidP="007D5ACF">
      <w:pPr>
        <w:numPr>
          <w:ilvl w:val="0"/>
          <w:numId w:val="70"/>
        </w:numPr>
        <w:spacing w:after="0" w:line="240" w:lineRule="auto"/>
        <w:jc w:val="both"/>
        <w:rPr>
          <w:rFonts w:cs="Times New Roman"/>
        </w:rPr>
      </w:pPr>
      <w:r w:rsidRPr="00D06382">
        <w:rPr>
          <w:rFonts w:cs="Times New Roman"/>
        </w:rPr>
        <w:t>Integrate sustainability more deeply into their built environment strategies</w:t>
      </w:r>
    </w:p>
    <w:p w14:paraId="2C33B3DA" w14:textId="77777777" w:rsidR="00052B3F" w:rsidRPr="00D06382" w:rsidRDefault="00052B3F" w:rsidP="007D5ACF">
      <w:pPr>
        <w:numPr>
          <w:ilvl w:val="0"/>
          <w:numId w:val="70"/>
        </w:numPr>
        <w:spacing w:after="0" w:line="240" w:lineRule="auto"/>
        <w:jc w:val="both"/>
        <w:rPr>
          <w:rFonts w:cs="Times New Roman"/>
        </w:rPr>
      </w:pPr>
      <w:r w:rsidRPr="00D06382">
        <w:rPr>
          <w:rFonts w:cs="Times New Roman"/>
        </w:rPr>
        <w:t>Enhance data collection and reporting on building performance and sustainability initiatives</w:t>
      </w:r>
    </w:p>
    <w:p w14:paraId="568787C3" w14:textId="77777777" w:rsidR="00052B3F" w:rsidRPr="00D06382" w:rsidRDefault="00052B3F" w:rsidP="007D5ACF">
      <w:pPr>
        <w:numPr>
          <w:ilvl w:val="0"/>
          <w:numId w:val="70"/>
        </w:numPr>
        <w:spacing w:after="0" w:line="240" w:lineRule="auto"/>
        <w:jc w:val="both"/>
        <w:rPr>
          <w:rFonts w:cs="Times New Roman"/>
        </w:rPr>
      </w:pPr>
      <w:r w:rsidRPr="00D06382">
        <w:rPr>
          <w:rFonts w:cs="Times New Roman"/>
        </w:rPr>
        <w:t>Increase collaboration with local communities on sustainable development projects</w:t>
      </w:r>
    </w:p>
    <w:p w14:paraId="28702E51" w14:textId="77777777" w:rsidR="00052B3F" w:rsidRPr="00D06382" w:rsidRDefault="00052B3F" w:rsidP="007D5ACF">
      <w:pPr>
        <w:numPr>
          <w:ilvl w:val="0"/>
          <w:numId w:val="70"/>
        </w:numPr>
        <w:spacing w:after="0" w:line="240" w:lineRule="auto"/>
        <w:jc w:val="both"/>
        <w:rPr>
          <w:rFonts w:cs="Times New Roman"/>
        </w:rPr>
      </w:pPr>
      <w:r w:rsidRPr="00D06382">
        <w:rPr>
          <w:rFonts w:cs="Times New Roman"/>
        </w:rPr>
        <w:lastRenderedPageBreak/>
        <w:t>Align campus operations more closely with global sustainability goals</w:t>
      </w:r>
    </w:p>
    <w:p w14:paraId="72AD912B" w14:textId="77777777" w:rsidR="00052B3F" w:rsidRPr="00D06382" w:rsidRDefault="00052B3F" w:rsidP="00052B3F">
      <w:pPr>
        <w:jc w:val="both"/>
        <w:rPr>
          <w:rFonts w:cs="Times New Roman"/>
        </w:rPr>
      </w:pPr>
    </w:p>
    <w:p w14:paraId="32254D17" w14:textId="5B3A7F3E" w:rsidR="00052B3F" w:rsidRPr="00D06382" w:rsidRDefault="00052B3F" w:rsidP="00052B3F">
      <w:pPr>
        <w:jc w:val="both"/>
        <w:rPr>
          <w:rFonts w:cs="Times New Roman"/>
          <w:b/>
          <w:bCs/>
        </w:rPr>
      </w:pPr>
      <w:r w:rsidRPr="00D06382">
        <w:rPr>
          <w:rFonts w:cs="Times New Roman"/>
          <w:b/>
          <w:bCs/>
        </w:rPr>
        <w:t>Strengths and Limitations</w:t>
      </w:r>
    </w:p>
    <w:p w14:paraId="342BA636" w14:textId="3851C755" w:rsidR="00052B3F" w:rsidRPr="00D06382" w:rsidRDefault="00052B3F" w:rsidP="00052B3F">
      <w:pPr>
        <w:jc w:val="both"/>
        <w:rPr>
          <w:rFonts w:cs="Times New Roman"/>
        </w:rPr>
      </w:pPr>
      <w:r w:rsidRPr="00D06382">
        <w:rPr>
          <w:rFonts w:cs="Times New Roman"/>
        </w:rPr>
        <w:t>The</w:t>
      </w:r>
      <w:r w:rsidR="00A61FAE">
        <w:rPr>
          <w:rFonts w:cs="Times New Roman"/>
        </w:rPr>
        <w:t xml:space="preserve"> </w:t>
      </w:r>
      <w:r w:rsidRPr="00D06382">
        <w:rPr>
          <w:rFonts w:cs="Times New Roman"/>
        </w:rPr>
        <w:t>THE Impact Rankings offer several advantages, including a holistic approach to sustainability assessment, global comparability, and alignment with internationally recognized goals. However, critics note potential limitations, such as the self-reporting nature of data submission and the challenge of comparing institutions across vastly different contexts (Shiel et al., 2020).</w:t>
      </w:r>
    </w:p>
    <w:p w14:paraId="099440BC" w14:textId="77777777" w:rsidR="00052B3F" w:rsidRPr="00D06382" w:rsidRDefault="00052B3F" w:rsidP="00052B3F">
      <w:pPr>
        <w:jc w:val="both"/>
        <w:rPr>
          <w:rFonts w:cs="Times New Roman"/>
        </w:rPr>
      </w:pPr>
      <w:r w:rsidRPr="00D06382">
        <w:rPr>
          <w:rFonts w:cs="Times New Roman"/>
        </w:rPr>
        <w:t>Despite these limitations, the rankings have gained significant traction, with participation growing from 450 institutions in 2019 to over 2,152 in 2024, representing 125 countries (Times Higher Education, 2023a). This growth reflects the increasing importance universities place on demonstrating their commitment to sustainability and social impact.</w:t>
      </w:r>
    </w:p>
    <w:p w14:paraId="59263455" w14:textId="4A0948A3" w:rsidR="00052B3F" w:rsidRPr="00D06382" w:rsidRDefault="00052B3F" w:rsidP="00052B3F">
      <w:pPr>
        <w:jc w:val="both"/>
        <w:rPr>
          <w:rFonts w:cs="Times New Roman"/>
          <w:b/>
          <w:bCs/>
        </w:rPr>
      </w:pPr>
      <w:r w:rsidRPr="00D06382">
        <w:rPr>
          <w:rFonts w:cs="Times New Roman"/>
          <w:b/>
          <w:bCs/>
        </w:rPr>
        <w:t>Implications for York University</w:t>
      </w:r>
    </w:p>
    <w:p w14:paraId="3F8511BB" w14:textId="7289D042" w:rsidR="00052B3F" w:rsidRPr="00D06382" w:rsidRDefault="00052B3F" w:rsidP="00052B3F">
      <w:pPr>
        <w:jc w:val="both"/>
        <w:rPr>
          <w:rFonts w:cs="Times New Roman"/>
        </w:rPr>
      </w:pPr>
      <w:r w:rsidRPr="00D06382">
        <w:rPr>
          <w:rFonts w:cs="Times New Roman"/>
        </w:rPr>
        <w:t>York University</w:t>
      </w:r>
      <w:r w:rsidR="00027B17">
        <w:rPr>
          <w:rFonts w:cs="Times New Roman"/>
        </w:rPr>
        <w:t>’</w:t>
      </w:r>
      <w:r w:rsidRPr="00D06382">
        <w:rPr>
          <w:rFonts w:cs="Times New Roman"/>
        </w:rPr>
        <w:t>s participation in the THE Impact Rankings demonstrates its commitment to global sustainability goals. However, the university</w:t>
      </w:r>
      <w:r w:rsidR="00027B17">
        <w:rPr>
          <w:rFonts w:cs="Times New Roman"/>
        </w:rPr>
        <w:t>’</w:t>
      </w:r>
      <w:r w:rsidRPr="00D06382">
        <w:rPr>
          <w:rFonts w:cs="Times New Roman"/>
        </w:rPr>
        <w:t>s previous performance indicates room for improvement, particularly in areas that relate to its built environment and sustainability practices. As York University develops its green building strategy, leveraging the THE Impact Rankings framework could provide several benefits and opportunities for enhancement:</w:t>
      </w:r>
    </w:p>
    <w:p w14:paraId="6F060D4B" w14:textId="77777777" w:rsidR="00052B3F" w:rsidRPr="00D06382" w:rsidRDefault="00052B3F" w:rsidP="007D5ACF">
      <w:pPr>
        <w:numPr>
          <w:ilvl w:val="0"/>
          <w:numId w:val="71"/>
        </w:numPr>
        <w:spacing w:after="0" w:line="240" w:lineRule="auto"/>
        <w:jc w:val="both"/>
        <w:rPr>
          <w:rFonts w:cs="Times New Roman"/>
        </w:rPr>
      </w:pPr>
      <w:r w:rsidRPr="00D06382">
        <w:rPr>
          <w:rFonts w:cs="Times New Roman"/>
        </w:rPr>
        <w:t>Targeted Improvement: By analyzing its current performance in the rankings, especially related to SDG 11 sustainable buildings and cities, SDG 7 clean energy, and SDG 13 climate action, York University can identify specific areas where its green building strategy can contribute to improved scores.</w:t>
      </w:r>
    </w:p>
    <w:p w14:paraId="5638F8B2" w14:textId="3362ED15" w:rsidR="00052B3F" w:rsidRPr="00D06382" w:rsidRDefault="00052B3F" w:rsidP="007D5ACF">
      <w:pPr>
        <w:numPr>
          <w:ilvl w:val="0"/>
          <w:numId w:val="71"/>
        </w:numPr>
        <w:spacing w:after="0" w:line="240" w:lineRule="auto"/>
        <w:jc w:val="both"/>
        <w:rPr>
          <w:rFonts w:cs="Times New Roman"/>
        </w:rPr>
      </w:pPr>
      <w:r w:rsidRPr="00D06382">
        <w:rPr>
          <w:rFonts w:cs="Times New Roman"/>
        </w:rPr>
        <w:t>Alignment with Global Standards: The rankings provide a globally recognized framework for sustainability. Aligning the green building strategy with these standards ensures that York University</w:t>
      </w:r>
      <w:r w:rsidR="00027B17">
        <w:rPr>
          <w:rFonts w:cs="Times New Roman"/>
        </w:rPr>
        <w:t>’</w:t>
      </w:r>
      <w:r w:rsidRPr="00D06382">
        <w:rPr>
          <w:rFonts w:cs="Times New Roman"/>
        </w:rPr>
        <w:t>s efforts are comparable with international best practices.</w:t>
      </w:r>
    </w:p>
    <w:p w14:paraId="62A9A7A4" w14:textId="0259BD32" w:rsidR="00052B3F" w:rsidRPr="00D06382" w:rsidRDefault="00052B3F" w:rsidP="007D5ACF">
      <w:pPr>
        <w:numPr>
          <w:ilvl w:val="0"/>
          <w:numId w:val="71"/>
        </w:numPr>
        <w:spacing w:after="0" w:line="240" w:lineRule="auto"/>
        <w:jc w:val="both"/>
        <w:rPr>
          <w:rFonts w:cs="Times New Roman"/>
        </w:rPr>
      </w:pPr>
      <w:r w:rsidRPr="00D06382">
        <w:rPr>
          <w:rFonts w:cs="Times New Roman"/>
        </w:rPr>
        <w:t>Data-Driven Decision-Making: Participation in the rankings requires robust data collection and reporting. This can inform and enhance York University</w:t>
      </w:r>
      <w:r w:rsidR="00027B17">
        <w:rPr>
          <w:rFonts w:cs="Times New Roman"/>
        </w:rPr>
        <w:t>’</w:t>
      </w:r>
      <w:r w:rsidRPr="00D06382">
        <w:rPr>
          <w:rFonts w:cs="Times New Roman"/>
        </w:rPr>
        <w:t>s approach to monitoring and evaluating the performance of its green buildings and sustainability initiatives.</w:t>
      </w:r>
    </w:p>
    <w:p w14:paraId="21913CC2" w14:textId="77777777" w:rsidR="00052B3F" w:rsidRPr="00D06382" w:rsidRDefault="00052B3F" w:rsidP="007D5ACF">
      <w:pPr>
        <w:numPr>
          <w:ilvl w:val="0"/>
          <w:numId w:val="71"/>
        </w:numPr>
        <w:spacing w:after="0" w:line="240" w:lineRule="auto"/>
        <w:jc w:val="both"/>
        <w:rPr>
          <w:rFonts w:cs="Times New Roman"/>
        </w:rPr>
      </w:pPr>
      <w:r w:rsidRPr="00D06382">
        <w:rPr>
          <w:rFonts w:cs="Times New Roman"/>
        </w:rPr>
        <w:t>Reputation Enhancement: As York University improves its performance in the rankings through strategic initiatives like its green building strategy, it can enhance its reputation as a leader in sustainability, potentially attracting more sustainability-minded students, faculty, and research partnerships.</w:t>
      </w:r>
    </w:p>
    <w:p w14:paraId="5BD4B3D2" w14:textId="77777777" w:rsidR="00052B3F" w:rsidRPr="00D06382" w:rsidRDefault="00052B3F" w:rsidP="00052B3F">
      <w:pPr>
        <w:jc w:val="both"/>
        <w:rPr>
          <w:rFonts w:cs="Times New Roman"/>
        </w:rPr>
      </w:pPr>
    </w:p>
    <w:p w14:paraId="0A0354DC" w14:textId="77777777" w:rsidR="00052B3F" w:rsidRPr="00B16FEB" w:rsidRDefault="00052B3F" w:rsidP="00B16FEB">
      <w:pPr>
        <w:pStyle w:val="Heading1"/>
      </w:pPr>
      <w:bookmarkStart w:id="21" w:name="_Toc202742986"/>
      <w:r w:rsidRPr="00B16FEB">
        <w:lastRenderedPageBreak/>
        <w:t>Methodology</w:t>
      </w:r>
      <w:bookmarkEnd w:id="21"/>
    </w:p>
    <w:p w14:paraId="42345104" w14:textId="0BF6604F" w:rsidR="00052B3F" w:rsidRPr="00D06382" w:rsidRDefault="00052B3F" w:rsidP="00052B3F">
      <w:pPr>
        <w:jc w:val="both"/>
        <w:rPr>
          <w:rFonts w:cs="Times New Roman"/>
        </w:rPr>
      </w:pPr>
      <w:r w:rsidRPr="00D06382">
        <w:rPr>
          <w:rFonts w:cs="Times New Roman"/>
        </w:rPr>
        <w:t>This research report employs a multi-faceted approach to inform the development of York University</w:t>
      </w:r>
      <w:r w:rsidR="00027B17">
        <w:rPr>
          <w:rFonts w:cs="Times New Roman"/>
        </w:rPr>
        <w:t>’</w:t>
      </w:r>
      <w:r w:rsidRPr="00D06382">
        <w:rPr>
          <w:rFonts w:cs="Times New Roman"/>
        </w:rPr>
        <w:t>s green building strategy. The methodology combines literature review, case study analysis, and stakeholder consultation to ensure a comprehensive and contextually relevant foundation for strategy development.</w:t>
      </w:r>
    </w:p>
    <w:p w14:paraId="6C14E5AF" w14:textId="77777777" w:rsidR="00052B3F" w:rsidRPr="00D06382" w:rsidRDefault="00052B3F" w:rsidP="00052B3F">
      <w:pPr>
        <w:jc w:val="both"/>
        <w:rPr>
          <w:rFonts w:cs="Times New Roman"/>
        </w:rPr>
      </w:pPr>
      <w:r w:rsidRPr="00D06382">
        <w:rPr>
          <w:rFonts w:cs="Times New Roman"/>
        </w:rPr>
        <w:t>An extensive review of academic literature, institutional reports, and industry guidelines was conducted to establish the theoretical and practical basis for green building strategies in higher education. This review focused on key themes including sustainability strategies, green building standards, energy efficiency measures, and stakeholder engagement approaches.</w:t>
      </w:r>
    </w:p>
    <w:p w14:paraId="111D837C" w14:textId="743BDD63" w:rsidR="00052B3F" w:rsidRPr="00D06382" w:rsidRDefault="00052B3F" w:rsidP="00052B3F">
      <w:pPr>
        <w:jc w:val="both"/>
        <w:rPr>
          <w:rFonts w:cs="Times New Roman"/>
        </w:rPr>
      </w:pPr>
      <w:r w:rsidRPr="00D06382">
        <w:rPr>
          <w:rFonts w:cs="Times New Roman"/>
        </w:rPr>
        <w:t>Case studies of peer institutions were analyzed to gain insights from practical implementations. Selection criteria for case studies included:</w:t>
      </w:r>
    </w:p>
    <w:p w14:paraId="3449DF39" w14:textId="77777777" w:rsidR="00052B3F" w:rsidRPr="00D06382" w:rsidRDefault="00052B3F" w:rsidP="007D5ACF">
      <w:pPr>
        <w:numPr>
          <w:ilvl w:val="0"/>
          <w:numId w:val="24"/>
        </w:numPr>
        <w:spacing w:after="0" w:line="240" w:lineRule="auto"/>
        <w:jc w:val="both"/>
        <w:rPr>
          <w:rFonts w:cs="Times New Roman"/>
        </w:rPr>
      </w:pPr>
      <w:r w:rsidRPr="00D06382">
        <w:rPr>
          <w:rFonts w:cs="Times New Roman"/>
        </w:rPr>
        <w:t>Canadian higher education institutions of similar size and scope to York University</w:t>
      </w:r>
    </w:p>
    <w:p w14:paraId="110569DF" w14:textId="77777777" w:rsidR="00052B3F" w:rsidRPr="00D06382" w:rsidRDefault="00052B3F" w:rsidP="007D5ACF">
      <w:pPr>
        <w:numPr>
          <w:ilvl w:val="0"/>
          <w:numId w:val="24"/>
        </w:numPr>
        <w:spacing w:after="0" w:line="240" w:lineRule="auto"/>
        <w:jc w:val="both"/>
        <w:rPr>
          <w:rFonts w:cs="Times New Roman"/>
        </w:rPr>
      </w:pPr>
      <w:r w:rsidRPr="00D06382">
        <w:rPr>
          <w:rFonts w:cs="Times New Roman"/>
        </w:rPr>
        <w:t>Institutions recognized for leadership in campus sustainability</w:t>
      </w:r>
    </w:p>
    <w:p w14:paraId="17BB5386" w14:textId="77777777" w:rsidR="00052B3F" w:rsidRPr="00D06382" w:rsidRDefault="00052B3F" w:rsidP="007D5ACF">
      <w:pPr>
        <w:numPr>
          <w:ilvl w:val="0"/>
          <w:numId w:val="24"/>
        </w:numPr>
        <w:spacing w:after="0" w:line="240" w:lineRule="auto"/>
        <w:jc w:val="both"/>
        <w:rPr>
          <w:rFonts w:cs="Times New Roman"/>
        </w:rPr>
      </w:pPr>
      <w:r w:rsidRPr="00D06382">
        <w:rPr>
          <w:rFonts w:cs="Times New Roman"/>
        </w:rPr>
        <w:t>Availability of detailed information on green building strategies and outcomes</w:t>
      </w:r>
    </w:p>
    <w:p w14:paraId="4E98CBAC" w14:textId="77777777" w:rsidR="00B16FEB" w:rsidRDefault="00B16FEB" w:rsidP="00052B3F">
      <w:pPr>
        <w:jc w:val="both"/>
        <w:rPr>
          <w:rFonts w:cs="Times New Roman"/>
        </w:rPr>
      </w:pPr>
    </w:p>
    <w:p w14:paraId="32CF579F" w14:textId="58F1C82A" w:rsidR="00052B3F" w:rsidRPr="00D06382" w:rsidRDefault="00052B3F" w:rsidP="00052B3F">
      <w:pPr>
        <w:jc w:val="both"/>
        <w:rPr>
          <w:rFonts w:cs="Times New Roman"/>
        </w:rPr>
      </w:pPr>
      <w:r w:rsidRPr="00D06382">
        <w:rPr>
          <w:rFonts w:cs="Times New Roman"/>
        </w:rPr>
        <w:t>The analysis focused on targets and timelines, energy management approaches, innovative technologies, integration of research and operations, financing mechanisms, and lessons learned.</w:t>
      </w:r>
    </w:p>
    <w:p w14:paraId="72265F7B" w14:textId="77777777" w:rsidR="009955D1" w:rsidRPr="00B16FEB" w:rsidRDefault="00052B3F" w:rsidP="00052B3F">
      <w:pPr>
        <w:jc w:val="both"/>
        <w:rPr>
          <w:rFonts w:cs="Times New Roman"/>
          <w:b/>
          <w:bCs/>
        </w:rPr>
      </w:pPr>
      <w:r w:rsidRPr="00B16FEB">
        <w:rPr>
          <w:rFonts w:cs="Times New Roman"/>
          <w:b/>
          <w:bCs/>
        </w:rPr>
        <w:t xml:space="preserve">Green Building Standards Review </w:t>
      </w:r>
    </w:p>
    <w:p w14:paraId="48F1BBB7" w14:textId="01C4B37C" w:rsidR="00052B3F" w:rsidRPr="00D06382" w:rsidRDefault="00052B3F" w:rsidP="00052B3F">
      <w:pPr>
        <w:jc w:val="both"/>
        <w:rPr>
          <w:rFonts w:cs="Times New Roman"/>
        </w:rPr>
      </w:pPr>
      <w:r w:rsidRPr="00D06382">
        <w:rPr>
          <w:rFonts w:cs="Times New Roman"/>
        </w:rPr>
        <w:t>A comparative analysis of relevant green building standards, including LEED, BOMA BEST, Passive House, and the Toronto Green Standard, was conducted. This analysis examined the scope, certification processes, and specific requirements of each standard, particularly emphasizing their applicability to the higher education context.</w:t>
      </w:r>
    </w:p>
    <w:p w14:paraId="333BD082" w14:textId="01692AE9" w:rsidR="00052B3F" w:rsidRPr="00D06382" w:rsidRDefault="00052B3F" w:rsidP="00052B3F">
      <w:pPr>
        <w:jc w:val="both"/>
        <w:rPr>
          <w:rFonts w:cs="Times New Roman"/>
        </w:rPr>
      </w:pPr>
      <w:r w:rsidRPr="00D06382">
        <w:rPr>
          <w:rFonts w:cs="Times New Roman"/>
        </w:rPr>
        <w:t>To ensure alignment with York University</w:t>
      </w:r>
      <w:r w:rsidR="00027B17">
        <w:rPr>
          <w:rFonts w:cs="Times New Roman"/>
        </w:rPr>
        <w:t>’</w:t>
      </w:r>
      <w:r w:rsidRPr="00D06382">
        <w:rPr>
          <w:rFonts w:cs="Times New Roman"/>
        </w:rPr>
        <w:t>s specific context and priorities, consultations were held with key stakeholders. These included:</w:t>
      </w:r>
    </w:p>
    <w:p w14:paraId="18BAD748" w14:textId="77777777" w:rsidR="00052B3F" w:rsidRPr="00D06382" w:rsidRDefault="00052B3F" w:rsidP="007D5ACF">
      <w:pPr>
        <w:numPr>
          <w:ilvl w:val="0"/>
          <w:numId w:val="22"/>
        </w:numPr>
        <w:spacing w:after="0" w:line="240" w:lineRule="auto"/>
        <w:jc w:val="both"/>
        <w:rPr>
          <w:rFonts w:cs="Times New Roman"/>
        </w:rPr>
      </w:pPr>
      <w:r w:rsidRPr="00D06382">
        <w:rPr>
          <w:rFonts w:cs="Times New Roman"/>
        </w:rPr>
        <w:t>The YU Energy and Buildings Working Group: Discussions focused on current building performance, operational challenges, and opportunities for improvement.</w:t>
      </w:r>
    </w:p>
    <w:p w14:paraId="52E1A6A5" w14:textId="77777777" w:rsidR="00052B3F" w:rsidRPr="00D06382" w:rsidRDefault="00052B3F" w:rsidP="007D5ACF">
      <w:pPr>
        <w:numPr>
          <w:ilvl w:val="0"/>
          <w:numId w:val="22"/>
        </w:numPr>
        <w:spacing w:after="0" w:line="240" w:lineRule="auto"/>
        <w:jc w:val="both"/>
        <w:rPr>
          <w:rFonts w:cs="Times New Roman"/>
        </w:rPr>
      </w:pPr>
      <w:r w:rsidRPr="00D06382">
        <w:rPr>
          <w:rFonts w:cs="Times New Roman"/>
        </w:rPr>
        <w:t>The YU Office of Sustainability: Consultations addressed alignment with broader sustainability goals, existing initiatives, and potential synergies with other university strategies.</w:t>
      </w:r>
    </w:p>
    <w:p w14:paraId="0EF257A0" w14:textId="1DE5B3CC" w:rsidR="00052B3F" w:rsidRPr="00D06382" w:rsidRDefault="00052B3F" w:rsidP="007D5ACF">
      <w:pPr>
        <w:numPr>
          <w:ilvl w:val="0"/>
          <w:numId w:val="22"/>
        </w:numPr>
        <w:spacing w:after="0" w:line="240" w:lineRule="auto"/>
        <w:jc w:val="both"/>
        <w:rPr>
          <w:rFonts w:cs="Times New Roman"/>
        </w:rPr>
      </w:pPr>
      <w:r w:rsidRPr="00D06382">
        <w:rPr>
          <w:rFonts w:cs="Times New Roman"/>
        </w:rPr>
        <w:t>Faculty of Environmental and Urban Change (EUC) Business and Environment Graduate Diploma Coordinator: Discussions focused on aligning this paper with the academic requirements and priorities of the Faculty and YU Energy and Buildings Working Group.</w:t>
      </w:r>
    </w:p>
    <w:p w14:paraId="0600B579" w14:textId="77777777" w:rsidR="001C21F4" w:rsidRPr="00D06382" w:rsidRDefault="001C21F4" w:rsidP="001C21F4">
      <w:pPr>
        <w:spacing w:after="0" w:line="240" w:lineRule="auto"/>
        <w:ind w:left="720"/>
        <w:jc w:val="both"/>
        <w:rPr>
          <w:rFonts w:cs="Times New Roman"/>
        </w:rPr>
      </w:pPr>
    </w:p>
    <w:p w14:paraId="7BA86AF4" w14:textId="18E278BC" w:rsidR="00052B3F" w:rsidRPr="00D06382" w:rsidRDefault="00052B3F" w:rsidP="00052B3F">
      <w:pPr>
        <w:jc w:val="both"/>
        <w:rPr>
          <w:rFonts w:cs="Times New Roman"/>
        </w:rPr>
      </w:pPr>
      <w:r w:rsidRPr="00D06382">
        <w:rPr>
          <w:rFonts w:cs="Times New Roman"/>
        </w:rPr>
        <w:t>These consultations provided valuable insights into the institutional context, helping to ground the research findings in York University</w:t>
      </w:r>
      <w:r w:rsidR="00027B17">
        <w:rPr>
          <w:rFonts w:cs="Times New Roman"/>
        </w:rPr>
        <w:t>’</w:t>
      </w:r>
      <w:r w:rsidRPr="00D06382">
        <w:rPr>
          <w:rFonts w:cs="Times New Roman"/>
        </w:rPr>
        <w:t xml:space="preserve">s specific needs and constraints. The information </w:t>
      </w:r>
      <w:r w:rsidRPr="00D06382">
        <w:rPr>
          <w:rFonts w:cs="Times New Roman"/>
        </w:rPr>
        <w:lastRenderedPageBreak/>
        <w:t>gathered through these methods was synthesized to develop a proposed framework for York University</w:t>
      </w:r>
      <w:r w:rsidR="00027B17">
        <w:rPr>
          <w:rFonts w:cs="Times New Roman"/>
        </w:rPr>
        <w:t>’</w:t>
      </w:r>
      <w:r w:rsidRPr="00D06382">
        <w:rPr>
          <w:rFonts w:cs="Times New Roman"/>
        </w:rPr>
        <w:t xml:space="preserve">s green building strategy. </w:t>
      </w:r>
    </w:p>
    <w:p w14:paraId="071C1A7E" w14:textId="77777777" w:rsidR="00052B3F" w:rsidRPr="00D06382" w:rsidRDefault="00052B3F" w:rsidP="00052B3F">
      <w:pPr>
        <w:jc w:val="both"/>
        <w:rPr>
          <w:rFonts w:cs="Times New Roman"/>
        </w:rPr>
      </w:pPr>
      <w:r w:rsidRPr="00D06382">
        <w:rPr>
          <w:rFonts w:cs="Times New Roman"/>
        </w:rPr>
        <w:t>This ensures that the proposed green building strategy is academically rigorous and practically applicable, providing a solid foundation for York University to advance its sustainability objectives through its built environment.</w:t>
      </w:r>
    </w:p>
    <w:p w14:paraId="5F71799C" w14:textId="77777777" w:rsidR="00052B3F" w:rsidRPr="00D06382" w:rsidRDefault="00052B3F" w:rsidP="00AA574A">
      <w:pPr>
        <w:pStyle w:val="Heading2"/>
      </w:pPr>
      <w:bookmarkStart w:id="22" w:name="_Toc202742987"/>
      <w:r w:rsidRPr="00D06382">
        <w:t>Green Building Frameworks in Canada</w:t>
      </w:r>
      <w:bookmarkEnd w:id="22"/>
    </w:p>
    <w:p w14:paraId="1F534AF0" w14:textId="77777777" w:rsidR="00052B3F" w:rsidRPr="00D06382" w:rsidRDefault="00052B3F" w:rsidP="00AA574A">
      <w:pPr>
        <w:pStyle w:val="Heading3"/>
      </w:pPr>
      <w:bookmarkStart w:id="23" w:name="_Toc202742988"/>
      <w:r w:rsidRPr="00D06382">
        <w:t>Toronto Green Standard (TGS)</w:t>
      </w:r>
      <w:bookmarkEnd w:id="23"/>
    </w:p>
    <w:p w14:paraId="596E96ED" w14:textId="5103DBE4"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Toronto Green Standard (TGS) is a comprehensive set of performance measures and guidelines aimed at promoting sustainable site and building design in new developments within the City of Toronto. Implemented in 2010 and regularly updated, with its current version being Version 4, the TGS plays a crucial role in addressing environmental challenges and advancing the city</w:t>
      </w:r>
      <w:r w:rsidR="00027B17">
        <w:rPr>
          <w:rFonts w:asciiTheme="minorHAnsi" w:hAnsiTheme="minorHAnsi"/>
          <w:sz w:val="22"/>
          <w:szCs w:val="22"/>
        </w:rPr>
        <w:t>’</w:t>
      </w:r>
      <w:r w:rsidRPr="00D06382">
        <w:rPr>
          <w:rFonts w:asciiTheme="minorHAnsi" w:hAnsiTheme="minorHAnsi"/>
          <w:sz w:val="22"/>
          <w:szCs w:val="22"/>
        </w:rPr>
        <w:t>s climate action goals (City of Toronto, 2022a). This analysis will examine the key components and performance tiers of the TGS.</w:t>
      </w:r>
    </w:p>
    <w:p w14:paraId="02A0F5B7"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Key Components</w:t>
      </w:r>
    </w:p>
    <w:p w14:paraId="73FF2B5E"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TGS covers several key environmental performance areas, each addressing critical aspects of sustainable urban development:</w:t>
      </w:r>
    </w:p>
    <w:p w14:paraId="1F2FB6B4" w14:textId="77777777" w:rsidR="00052B3F" w:rsidRPr="00D06382" w:rsidRDefault="00052B3F" w:rsidP="007D5ACF">
      <w:pPr>
        <w:pStyle w:val="whitespace-pre-wrap"/>
        <w:numPr>
          <w:ilvl w:val="0"/>
          <w:numId w:val="25"/>
        </w:numPr>
        <w:jc w:val="both"/>
        <w:rPr>
          <w:rFonts w:asciiTheme="minorHAnsi" w:hAnsiTheme="minorHAnsi"/>
          <w:sz w:val="22"/>
          <w:szCs w:val="22"/>
        </w:rPr>
      </w:pPr>
      <w:r w:rsidRPr="00D06382">
        <w:rPr>
          <w:rFonts w:asciiTheme="minorHAnsi" w:hAnsiTheme="minorHAnsi"/>
          <w:sz w:val="22"/>
          <w:szCs w:val="22"/>
        </w:rPr>
        <w:t>Air Quality: This component focuses on reducing emissions from transportation and improving local air quality. It includes measures to promote active transportation, minimize vehicle dependency, and mitigate air pollution from construction activities and building operations.</w:t>
      </w:r>
    </w:p>
    <w:p w14:paraId="0480E40C" w14:textId="77777777" w:rsidR="00052B3F" w:rsidRPr="00D06382" w:rsidRDefault="00052B3F" w:rsidP="007D5ACF">
      <w:pPr>
        <w:pStyle w:val="whitespace-pre-wrap"/>
        <w:numPr>
          <w:ilvl w:val="0"/>
          <w:numId w:val="25"/>
        </w:numPr>
        <w:jc w:val="both"/>
        <w:rPr>
          <w:rFonts w:asciiTheme="minorHAnsi" w:hAnsiTheme="minorHAnsi"/>
          <w:sz w:val="22"/>
          <w:szCs w:val="22"/>
        </w:rPr>
      </w:pPr>
      <w:r w:rsidRPr="00D06382">
        <w:rPr>
          <w:rFonts w:asciiTheme="minorHAnsi" w:hAnsiTheme="minorHAnsi"/>
          <w:sz w:val="22"/>
          <w:szCs w:val="22"/>
        </w:rPr>
        <w:t>Energy Efficiency and Greenhouse Gas Emissions: This area aims to optimize building energy performance and reduce carbon emissions. It sets targets for energy use intensity, thermal demand, and greenhouse gas emissions, pushing developers to adopt high-performance building envelopes, efficient mechanical systems, and renewable energy technologies.</w:t>
      </w:r>
    </w:p>
    <w:p w14:paraId="5FB94CDD" w14:textId="77777777" w:rsidR="00052B3F" w:rsidRPr="00D06382" w:rsidRDefault="00052B3F" w:rsidP="007D5ACF">
      <w:pPr>
        <w:pStyle w:val="whitespace-pre-wrap"/>
        <w:numPr>
          <w:ilvl w:val="0"/>
          <w:numId w:val="25"/>
        </w:numPr>
        <w:jc w:val="both"/>
        <w:rPr>
          <w:rFonts w:asciiTheme="minorHAnsi" w:hAnsiTheme="minorHAnsi"/>
          <w:sz w:val="22"/>
          <w:szCs w:val="22"/>
        </w:rPr>
      </w:pPr>
      <w:r w:rsidRPr="00D06382">
        <w:rPr>
          <w:rFonts w:asciiTheme="minorHAnsi" w:hAnsiTheme="minorHAnsi"/>
          <w:sz w:val="22"/>
          <w:szCs w:val="22"/>
        </w:rPr>
        <w:t>Water Quality and Efficiency: This component addresses stormwater management, water conservation, and efficient use of water resources. It includes requirements for rainwater retention, water quality treatment, and measures to reduce potable water consumption in buildings.</w:t>
      </w:r>
    </w:p>
    <w:p w14:paraId="62C6B671" w14:textId="77777777" w:rsidR="00052B3F" w:rsidRPr="00D06382" w:rsidRDefault="00052B3F" w:rsidP="007D5ACF">
      <w:pPr>
        <w:pStyle w:val="whitespace-pre-wrap"/>
        <w:numPr>
          <w:ilvl w:val="0"/>
          <w:numId w:val="25"/>
        </w:numPr>
        <w:jc w:val="both"/>
        <w:rPr>
          <w:rFonts w:asciiTheme="minorHAnsi" w:hAnsiTheme="minorHAnsi"/>
          <w:sz w:val="22"/>
          <w:szCs w:val="22"/>
        </w:rPr>
      </w:pPr>
      <w:r w:rsidRPr="00D06382">
        <w:rPr>
          <w:rFonts w:asciiTheme="minorHAnsi" w:hAnsiTheme="minorHAnsi"/>
          <w:sz w:val="22"/>
          <w:szCs w:val="22"/>
        </w:rPr>
        <w:t>Ecology and Biodiversity: This area promotes the enhancement of urban ecosystems and biodiversity. It includes requirements for tree planting, soil volume, green roofs, and measures to protect and enhance natural habitats within the urban environment.</w:t>
      </w:r>
    </w:p>
    <w:p w14:paraId="7C51E610" w14:textId="77777777" w:rsidR="00052B3F" w:rsidRPr="00D06382" w:rsidRDefault="00052B3F" w:rsidP="007D5ACF">
      <w:pPr>
        <w:pStyle w:val="whitespace-pre-wrap"/>
        <w:numPr>
          <w:ilvl w:val="0"/>
          <w:numId w:val="25"/>
        </w:numPr>
        <w:jc w:val="both"/>
        <w:rPr>
          <w:rFonts w:asciiTheme="minorHAnsi" w:hAnsiTheme="minorHAnsi"/>
          <w:sz w:val="22"/>
          <w:szCs w:val="22"/>
        </w:rPr>
      </w:pPr>
      <w:r w:rsidRPr="00D06382">
        <w:rPr>
          <w:rFonts w:asciiTheme="minorHAnsi" w:hAnsiTheme="minorHAnsi"/>
          <w:sz w:val="22"/>
          <w:szCs w:val="22"/>
        </w:rPr>
        <w:t>Solid Waste: This component encourages waste reduction, recycling, and efficient waste management practices. It includes requirements for waste sorting and storage facilities in buildings, as well as construction waste management plans.</w:t>
      </w:r>
    </w:p>
    <w:p w14:paraId="6CF3EBEC"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Performance Tiers</w:t>
      </w:r>
    </w:p>
    <w:p w14:paraId="64AE9D2A"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lastRenderedPageBreak/>
        <w:t>The TGS operates on a tiered system, which allows for a gradual increase in environmental performance requirements:</w:t>
      </w:r>
    </w:p>
    <w:p w14:paraId="19D04BC5" w14:textId="77777777" w:rsidR="00052B3F" w:rsidRPr="00D06382" w:rsidRDefault="00052B3F" w:rsidP="007D5ACF">
      <w:pPr>
        <w:pStyle w:val="whitespace-pre-wrap"/>
        <w:numPr>
          <w:ilvl w:val="0"/>
          <w:numId w:val="26"/>
        </w:numPr>
        <w:jc w:val="both"/>
        <w:rPr>
          <w:rFonts w:asciiTheme="minorHAnsi" w:hAnsiTheme="minorHAnsi"/>
          <w:sz w:val="22"/>
          <w:szCs w:val="22"/>
        </w:rPr>
      </w:pPr>
      <w:r w:rsidRPr="00D06382">
        <w:rPr>
          <w:rFonts w:asciiTheme="minorHAnsi" w:hAnsiTheme="minorHAnsi"/>
          <w:sz w:val="22"/>
          <w:szCs w:val="22"/>
        </w:rPr>
        <w:t>Tier 1: This is the mandatory level for all new planning applications. It sets the baseline for sustainable development in Toronto and ensures that all new projects meet a minimum standard of environmental performance.</w:t>
      </w:r>
    </w:p>
    <w:p w14:paraId="66F7938A" w14:textId="77777777" w:rsidR="00052B3F" w:rsidRPr="00D06382" w:rsidRDefault="00052B3F" w:rsidP="007D5ACF">
      <w:pPr>
        <w:pStyle w:val="whitespace-pre-wrap"/>
        <w:numPr>
          <w:ilvl w:val="0"/>
          <w:numId w:val="26"/>
        </w:numPr>
        <w:jc w:val="both"/>
        <w:rPr>
          <w:rFonts w:asciiTheme="minorHAnsi" w:hAnsiTheme="minorHAnsi"/>
          <w:sz w:val="22"/>
          <w:szCs w:val="22"/>
        </w:rPr>
      </w:pPr>
      <w:r w:rsidRPr="00D06382">
        <w:rPr>
          <w:rFonts w:asciiTheme="minorHAnsi" w:hAnsiTheme="minorHAnsi"/>
          <w:sz w:val="22"/>
          <w:szCs w:val="22"/>
        </w:rPr>
        <w:t>Tier 2: This is a voluntary tier with financial incentives. It represents a higher level of environmental performance and is designed to encourage developers to go beyond the minimum requirements.</w:t>
      </w:r>
    </w:p>
    <w:p w14:paraId="42E40035" w14:textId="77777777" w:rsidR="00052B3F" w:rsidRPr="00D06382" w:rsidRDefault="00052B3F" w:rsidP="007D5ACF">
      <w:pPr>
        <w:pStyle w:val="whitespace-pre-wrap"/>
        <w:numPr>
          <w:ilvl w:val="0"/>
          <w:numId w:val="26"/>
        </w:numPr>
        <w:jc w:val="both"/>
        <w:rPr>
          <w:rFonts w:asciiTheme="minorHAnsi" w:hAnsiTheme="minorHAnsi"/>
          <w:sz w:val="22"/>
          <w:szCs w:val="22"/>
        </w:rPr>
      </w:pPr>
      <w:r w:rsidRPr="00D06382">
        <w:rPr>
          <w:rFonts w:asciiTheme="minorHAnsi" w:hAnsiTheme="minorHAnsi"/>
          <w:sz w:val="22"/>
          <w:szCs w:val="22"/>
        </w:rPr>
        <w:t>Tier 3: Another voluntary tier with financial incentives, Tier 3 sets even more ambitious targets for environmental performance.</w:t>
      </w:r>
    </w:p>
    <w:p w14:paraId="3FE8BA62" w14:textId="77777777" w:rsidR="00052B3F" w:rsidRPr="00D06382" w:rsidRDefault="00052B3F" w:rsidP="007D5ACF">
      <w:pPr>
        <w:pStyle w:val="whitespace-pre-wrap"/>
        <w:numPr>
          <w:ilvl w:val="0"/>
          <w:numId w:val="26"/>
        </w:numPr>
        <w:jc w:val="both"/>
        <w:rPr>
          <w:rFonts w:asciiTheme="minorHAnsi" w:hAnsiTheme="minorHAnsi"/>
          <w:sz w:val="22"/>
          <w:szCs w:val="22"/>
        </w:rPr>
      </w:pPr>
      <w:r w:rsidRPr="00D06382">
        <w:rPr>
          <w:rFonts w:asciiTheme="minorHAnsi" w:hAnsiTheme="minorHAnsi"/>
          <w:sz w:val="22"/>
          <w:szCs w:val="22"/>
        </w:rPr>
        <w:t>Tier 4: This is the highest level of voluntary performance, with financial incentives. Tier 4 strongly approaches near-zero emissions and represents best-in-class sustainable building practices.</w:t>
      </w:r>
    </w:p>
    <w:p w14:paraId="5E43263B"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 xml:space="preserve">Each successive tier represents a higher level of environmental performance, with requirements becoming progressively more stringent. This tiered approach allows for flexibility in implementation while providing a clear pathway for continuous improvement. It is also designed to push the market towards higher levels of sustainability over time. </w:t>
      </w:r>
    </w:p>
    <w:p w14:paraId="511E7D19" w14:textId="5057CF7B"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As practices improve and technologies advance, the requirements for each tier are periodically reviewed and updated. This ensures that the TGS remains at the forefront of sustainable building practices and continues to drive meaningful improvements in the environmental performance of Toronto</w:t>
      </w:r>
      <w:r w:rsidR="00027B17">
        <w:rPr>
          <w:rFonts w:asciiTheme="minorHAnsi" w:hAnsiTheme="minorHAnsi"/>
          <w:sz w:val="22"/>
          <w:szCs w:val="22"/>
        </w:rPr>
        <w:t>’</w:t>
      </w:r>
      <w:r w:rsidRPr="00D06382">
        <w:rPr>
          <w:rFonts w:asciiTheme="minorHAnsi" w:hAnsiTheme="minorHAnsi"/>
          <w:sz w:val="22"/>
          <w:szCs w:val="22"/>
        </w:rPr>
        <w:t>s buildings and infrastructure.</w:t>
      </w:r>
    </w:p>
    <w:p w14:paraId="19B215DB"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 xml:space="preserve">By setting mandatory minimum requirements in Tier 1 and providing incentives for higher performance in Tier 2-4, the TGS effectively balances the need for broad adoption of sustainable practices with the desire to encourage leadership and innovation in green building design. </w:t>
      </w:r>
    </w:p>
    <w:p w14:paraId="48C73C85" w14:textId="77777777" w:rsidR="00406BF9" w:rsidRPr="00D06382" w:rsidRDefault="00406BF9" w:rsidP="00052B3F">
      <w:pPr>
        <w:pStyle w:val="whitespace-pre-wrap"/>
        <w:jc w:val="both"/>
        <w:rPr>
          <w:rFonts w:asciiTheme="minorHAnsi" w:hAnsiTheme="minorHAnsi"/>
          <w:sz w:val="22"/>
          <w:szCs w:val="22"/>
        </w:rPr>
      </w:pPr>
    </w:p>
    <w:p w14:paraId="5FFD2A01" w14:textId="77777777" w:rsidR="00052B3F" w:rsidRPr="00AA574A" w:rsidRDefault="00052B3F" w:rsidP="00AA574A">
      <w:pPr>
        <w:rPr>
          <w:b/>
          <w:bCs/>
        </w:rPr>
      </w:pPr>
      <w:r w:rsidRPr="00AA574A">
        <w:rPr>
          <w:b/>
          <w:bCs/>
        </w:rPr>
        <w:t>Requirements for New Buildings</w:t>
      </w:r>
    </w:p>
    <w:p w14:paraId="0E415217"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Energy and Emissions</w:t>
      </w:r>
    </w:p>
    <w:p w14:paraId="7AF6FB24"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TGS sets stringent targets for energy performance and greenhouse gas emissions, which become more demanding with each tier. For Tier 1, which is mandatory for all new developments, mid to high-rise residential and non-residential buildings must achieve:</w:t>
      </w:r>
    </w:p>
    <w:p w14:paraId="700D9C85" w14:textId="77777777" w:rsidR="00052B3F" w:rsidRPr="00D06382" w:rsidRDefault="00052B3F" w:rsidP="007D5ACF">
      <w:pPr>
        <w:pStyle w:val="whitespace-pre-wrap"/>
        <w:numPr>
          <w:ilvl w:val="0"/>
          <w:numId w:val="27"/>
        </w:numPr>
        <w:jc w:val="both"/>
        <w:rPr>
          <w:rFonts w:asciiTheme="minorHAnsi" w:hAnsiTheme="minorHAnsi"/>
          <w:sz w:val="22"/>
          <w:szCs w:val="22"/>
        </w:rPr>
      </w:pPr>
      <w:r w:rsidRPr="00D06382">
        <w:rPr>
          <w:rFonts w:asciiTheme="minorHAnsi" w:hAnsiTheme="minorHAnsi"/>
          <w:sz w:val="22"/>
          <w:szCs w:val="22"/>
        </w:rPr>
        <w:t>Total Energy Use Intensity (TEUI) of 170 kWh/m²/year</w:t>
      </w:r>
    </w:p>
    <w:p w14:paraId="553A91AD" w14:textId="77777777" w:rsidR="00052B3F" w:rsidRPr="00D06382" w:rsidRDefault="00052B3F" w:rsidP="007D5ACF">
      <w:pPr>
        <w:pStyle w:val="whitespace-pre-wrap"/>
        <w:numPr>
          <w:ilvl w:val="0"/>
          <w:numId w:val="27"/>
        </w:numPr>
        <w:jc w:val="both"/>
        <w:rPr>
          <w:rFonts w:asciiTheme="minorHAnsi" w:hAnsiTheme="minorHAnsi"/>
          <w:sz w:val="22"/>
          <w:szCs w:val="22"/>
        </w:rPr>
      </w:pPr>
      <w:r w:rsidRPr="00D06382">
        <w:rPr>
          <w:rFonts w:asciiTheme="minorHAnsi" w:hAnsiTheme="minorHAnsi"/>
          <w:sz w:val="22"/>
          <w:szCs w:val="22"/>
        </w:rPr>
        <w:t>Thermal Energy Demand Intensity (TEDI) of 70 kWh/m²/year</w:t>
      </w:r>
    </w:p>
    <w:p w14:paraId="42F38153" w14:textId="77777777" w:rsidR="00052B3F" w:rsidRPr="00D06382" w:rsidRDefault="00052B3F" w:rsidP="007D5ACF">
      <w:pPr>
        <w:pStyle w:val="whitespace-pre-wrap"/>
        <w:numPr>
          <w:ilvl w:val="0"/>
          <w:numId w:val="27"/>
        </w:numPr>
        <w:jc w:val="both"/>
        <w:rPr>
          <w:rFonts w:asciiTheme="minorHAnsi" w:hAnsiTheme="minorHAnsi"/>
          <w:sz w:val="22"/>
          <w:szCs w:val="22"/>
        </w:rPr>
      </w:pPr>
      <w:r w:rsidRPr="00D06382">
        <w:rPr>
          <w:rFonts w:asciiTheme="minorHAnsi" w:hAnsiTheme="minorHAnsi"/>
          <w:sz w:val="22"/>
          <w:szCs w:val="22"/>
        </w:rPr>
        <w:t>Greenhouse Gas Intensity (GHGI) of 20 kg/m²/year (City of Toronto, 2022c)</w:t>
      </w:r>
    </w:p>
    <w:p w14:paraId="12B52113"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These targets become progressively more stringent in higher tiers. For instance, Tier 4 requires:</w:t>
      </w:r>
    </w:p>
    <w:p w14:paraId="49C29A29" w14:textId="77777777" w:rsidR="00052B3F" w:rsidRPr="00D06382" w:rsidRDefault="00052B3F" w:rsidP="007D5ACF">
      <w:pPr>
        <w:pStyle w:val="whitespace-pre-wrap"/>
        <w:numPr>
          <w:ilvl w:val="0"/>
          <w:numId w:val="28"/>
        </w:numPr>
        <w:jc w:val="both"/>
        <w:rPr>
          <w:rFonts w:asciiTheme="minorHAnsi" w:hAnsiTheme="minorHAnsi"/>
          <w:sz w:val="22"/>
          <w:szCs w:val="22"/>
        </w:rPr>
      </w:pPr>
      <w:r w:rsidRPr="00D06382">
        <w:rPr>
          <w:rFonts w:asciiTheme="minorHAnsi" w:hAnsiTheme="minorHAnsi"/>
          <w:sz w:val="22"/>
          <w:szCs w:val="22"/>
        </w:rPr>
        <w:lastRenderedPageBreak/>
        <w:t>TEUI of 100 kWh/m²/year</w:t>
      </w:r>
    </w:p>
    <w:p w14:paraId="49A102F1" w14:textId="77777777" w:rsidR="00052B3F" w:rsidRPr="00D06382" w:rsidRDefault="00052B3F" w:rsidP="007D5ACF">
      <w:pPr>
        <w:pStyle w:val="whitespace-pre-wrap"/>
        <w:numPr>
          <w:ilvl w:val="0"/>
          <w:numId w:val="28"/>
        </w:numPr>
        <w:jc w:val="both"/>
        <w:rPr>
          <w:rFonts w:asciiTheme="minorHAnsi" w:hAnsiTheme="minorHAnsi"/>
          <w:sz w:val="22"/>
          <w:szCs w:val="22"/>
        </w:rPr>
      </w:pPr>
      <w:r w:rsidRPr="00D06382">
        <w:rPr>
          <w:rFonts w:asciiTheme="minorHAnsi" w:hAnsiTheme="minorHAnsi"/>
          <w:sz w:val="22"/>
          <w:szCs w:val="22"/>
        </w:rPr>
        <w:t>TEDI of 15 kWh/m²/year</w:t>
      </w:r>
    </w:p>
    <w:p w14:paraId="40FAAE8B" w14:textId="77777777" w:rsidR="00052B3F" w:rsidRPr="00D06382" w:rsidRDefault="00052B3F" w:rsidP="007D5ACF">
      <w:pPr>
        <w:pStyle w:val="whitespace-pre-wrap"/>
        <w:numPr>
          <w:ilvl w:val="0"/>
          <w:numId w:val="28"/>
        </w:numPr>
        <w:jc w:val="both"/>
        <w:rPr>
          <w:rFonts w:asciiTheme="minorHAnsi" w:hAnsiTheme="minorHAnsi"/>
          <w:sz w:val="22"/>
          <w:szCs w:val="22"/>
        </w:rPr>
      </w:pPr>
      <w:r w:rsidRPr="00D06382">
        <w:rPr>
          <w:rFonts w:asciiTheme="minorHAnsi" w:hAnsiTheme="minorHAnsi"/>
          <w:sz w:val="22"/>
          <w:szCs w:val="22"/>
        </w:rPr>
        <w:t>GHGI of 5 kg/m²/year for the same building types</w:t>
      </w:r>
    </w:p>
    <w:p w14:paraId="6C06DFE9"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To achieve these targets, buildings are expected to incorporate high-performance building envelopes, efficient HVAC systems, and potentially on-site renewable energy generation. The standard also encourages the use of energy modeling to optimize building design and verify compliance with the targets.</w:t>
      </w:r>
    </w:p>
    <w:p w14:paraId="5EC8F08B"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Air Quality</w:t>
      </w:r>
    </w:p>
    <w:p w14:paraId="5DC0EAEC"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TGS addresses air quality through various measures, with a particular focus on reducing emissions from transportation. For Tier 1:</w:t>
      </w:r>
    </w:p>
    <w:p w14:paraId="4D014530" w14:textId="77777777" w:rsidR="00052B3F" w:rsidRPr="00D06382" w:rsidRDefault="00052B3F" w:rsidP="007D5ACF">
      <w:pPr>
        <w:pStyle w:val="whitespace-pre-wrap"/>
        <w:numPr>
          <w:ilvl w:val="0"/>
          <w:numId w:val="29"/>
        </w:numPr>
        <w:jc w:val="both"/>
        <w:rPr>
          <w:rFonts w:asciiTheme="minorHAnsi" w:hAnsiTheme="minorHAnsi"/>
          <w:sz w:val="22"/>
          <w:szCs w:val="22"/>
        </w:rPr>
      </w:pPr>
      <w:r w:rsidRPr="00D06382">
        <w:rPr>
          <w:rFonts w:asciiTheme="minorHAnsi" w:hAnsiTheme="minorHAnsi"/>
          <w:sz w:val="22"/>
          <w:szCs w:val="22"/>
        </w:rPr>
        <w:t>Residential buildings must ensure that 25% of parking spaces are electric vehicle (EV) ready</w:t>
      </w:r>
    </w:p>
    <w:p w14:paraId="44C81A07" w14:textId="77777777" w:rsidR="00052B3F" w:rsidRPr="00D06382" w:rsidRDefault="00052B3F" w:rsidP="007D5ACF">
      <w:pPr>
        <w:pStyle w:val="whitespace-pre-wrap"/>
        <w:numPr>
          <w:ilvl w:val="0"/>
          <w:numId w:val="29"/>
        </w:numPr>
        <w:jc w:val="both"/>
        <w:rPr>
          <w:rFonts w:asciiTheme="minorHAnsi" w:hAnsiTheme="minorHAnsi"/>
          <w:sz w:val="22"/>
          <w:szCs w:val="22"/>
        </w:rPr>
      </w:pPr>
      <w:r w:rsidRPr="00D06382">
        <w:rPr>
          <w:rFonts w:asciiTheme="minorHAnsi" w:hAnsiTheme="minorHAnsi"/>
          <w:sz w:val="22"/>
          <w:szCs w:val="22"/>
        </w:rPr>
        <w:t>Non-residential buildings must provide Level 2 charging capability for 25% of parking spaces (City of Toronto, 2022c)</w:t>
      </w:r>
    </w:p>
    <w:p w14:paraId="4B9B6558"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Higher tiers increase these requirements, with Tier 4 mandating 100% of residential parking spaces to be EV-ready. This progressive approach aims to future-proof buildings for the anticipated increase in electric vehicle adoption.</w:t>
      </w:r>
    </w:p>
    <w:p w14:paraId="238BC2E7"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standard also includes bicycle parking and storage requirements to encourage active transportation. For instance, Tier 1 mandates the provision of long-term bicycle parking for residents and short-term bicycle parking for visitors in residential developments.</w:t>
      </w:r>
    </w:p>
    <w:p w14:paraId="43C0DAE7"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Water Efficiency and Stormwater Management</w:t>
      </w:r>
    </w:p>
    <w:p w14:paraId="589AB897"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Water management is a critical component of the TGS, addressing both water efficiency within buildings and stormwater management on site. For Tier 1:</w:t>
      </w:r>
    </w:p>
    <w:p w14:paraId="42A86F8B" w14:textId="77777777" w:rsidR="00052B3F" w:rsidRPr="00D06382" w:rsidRDefault="00052B3F" w:rsidP="007D5ACF">
      <w:pPr>
        <w:pStyle w:val="whitespace-pre-wrap"/>
        <w:numPr>
          <w:ilvl w:val="0"/>
          <w:numId w:val="30"/>
        </w:numPr>
        <w:jc w:val="both"/>
        <w:rPr>
          <w:rFonts w:asciiTheme="minorHAnsi" w:hAnsiTheme="minorHAnsi"/>
          <w:sz w:val="22"/>
          <w:szCs w:val="22"/>
        </w:rPr>
      </w:pPr>
      <w:r w:rsidRPr="00D06382">
        <w:rPr>
          <w:rFonts w:asciiTheme="minorHAnsi" w:hAnsiTheme="minorHAnsi"/>
          <w:sz w:val="22"/>
          <w:szCs w:val="22"/>
        </w:rPr>
        <w:t>Buildings must implement water balance, quality, and quantity control measures as per the Wet Weather Flow Management Guidelines</w:t>
      </w:r>
    </w:p>
    <w:p w14:paraId="52CBF68B" w14:textId="77777777" w:rsidR="00052B3F" w:rsidRPr="00D06382" w:rsidRDefault="00052B3F" w:rsidP="007D5ACF">
      <w:pPr>
        <w:pStyle w:val="whitespace-pre-wrap"/>
        <w:numPr>
          <w:ilvl w:val="0"/>
          <w:numId w:val="30"/>
        </w:numPr>
        <w:jc w:val="both"/>
        <w:rPr>
          <w:rFonts w:asciiTheme="minorHAnsi" w:hAnsiTheme="minorHAnsi"/>
          <w:sz w:val="22"/>
          <w:szCs w:val="22"/>
        </w:rPr>
      </w:pPr>
      <w:r w:rsidRPr="00D06382">
        <w:rPr>
          <w:rFonts w:asciiTheme="minorHAnsi" w:hAnsiTheme="minorHAnsi"/>
          <w:sz w:val="22"/>
          <w:szCs w:val="22"/>
        </w:rPr>
        <w:t>A minimum of 5mm of rainfall from all site surfaces must be retained (City of Toronto, 2022c)</w:t>
      </w:r>
    </w:p>
    <w:p w14:paraId="75BE2489"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Higher tiers introduce more stringent measures:</w:t>
      </w:r>
    </w:p>
    <w:p w14:paraId="1A8C8725" w14:textId="77777777" w:rsidR="00052B3F" w:rsidRPr="00D06382" w:rsidRDefault="00052B3F" w:rsidP="007D5ACF">
      <w:pPr>
        <w:pStyle w:val="whitespace-pre-wrap"/>
        <w:numPr>
          <w:ilvl w:val="0"/>
          <w:numId w:val="31"/>
        </w:numPr>
        <w:jc w:val="both"/>
        <w:rPr>
          <w:rFonts w:asciiTheme="minorHAnsi" w:hAnsiTheme="minorHAnsi"/>
          <w:sz w:val="22"/>
          <w:szCs w:val="22"/>
        </w:rPr>
      </w:pPr>
      <w:r w:rsidRPr="00D06382">
        <w:rPr>
          <w:rFonts w:asciiTheme="minorHAnsi" w:hAnsiTheme="minorHAnsi"/>
          <w:sz w:val="22"/>
          <w:szCs w:val="22"/>
        </w:rPr>
        <w:t>Tier 2 requires the retention of 10mm of rainfall</w:t>
      </w:r>
    </w:p>
    <w:p w14:paraId="1C295529" w14:textId="77777777" w:rsidR="00052B3F" w:rsidRPr="00D06382" w:rsidRDefault="00052B3F" w:rsidP="007D5ACF">
      <w:pPr>
        <w:pStyle w:val="whitespace-pre-wrap"/>
        <w:numPr>
          <w:ilvl w:val="0"/>
          <w:numId w:val="31"/>
        </w:numPr>
        <w:jc w:val="both"/>
        <w:rPr>
          <w:rFonts w:asciiTheme="minorHAnsi" w:hAnsiTheme="minorHAnsi"/>
          <w:sz w:val="22"/>
          <w:szCs w:val="22"/>
        </w:rPr>
      </w:pPr>
      <w:r w:rsidRPr="00D06382">
        <w:rPr>
          <w:rFonts w:asciiTheme="minorHAnsi" w:hAnsiTheme="minorHAnsi"/>
          <w:sz w:val="22"/>
          <w:szCs w:val="22"/>
        </w:rPr>
        <w:t>Tiers 3 and 4 push this further to 15mm and 20mm respectively</w:t>
      </w:r>
    </w:p>
    <w:p w14:paraId="78B4BAA4" w14:textId="75684489"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standard also encourages the use of green infrastructure for stormwater management. For instance, Tier 2 requires that at least 75% of the site</w:t>
      </w:r>
      <w:r w:rsidR="00027B17">
        <w:rPr>
          <w:rFonts w:asciiTheme="minorHAnsi" w:hAnsiTheme="minorHAnsi"/>
          <w:sz w:val="22"/>
          <w:szCs w:val="22"/>
        </w:rPr>
        <w:t>’</w:t>
      </w:r>
      <w:r w:rsidRPr="00D06382">
        <w:rPr>
          <w:rFonts w:asciiTheme="minorHAnsi" w:hAnsiTheme="minorHAnsi"/>
          <w:sz w:val="22"/>
          <w:szCs w:val="22"/>
        </w:rPr>
        <w:t>s non-roof hardscape be treated for stormwater runoff using green infrastructure (e.g., bioswales, permeable pavement).</w:t>
      </w:r>
    </w:p>
    <w:p w14:paraId="486920FC" w14:textId="618BB649"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lastRenderedPageBreak/>
        <w:t xml:space="preserve">For water efficiency within buildings, the TGS sets targets for fixture efficiency and encourages the use of non-potable water sources for </w:t>
      </w:r>
      <w:r w:rsidR="00712D92">
        <w:rPr>
          <w:rFonts w:asciiTheme="minorHAnsi" w:hAnsiTheme="minorHAnsi"/>
          <w:sz w:val="22"/>
          <w:szCs w:val="22"/>
        </w:rPr>
        <w:t>application</w:t>
      </w:r>
      <w:r w:rsidRPr="00D06382">
        <w:rPr>
          <w:rFonts w:asciiTheme="minorHAnsi" w:hAnsiTheme="minorHAnsi"/>
          <w:sz w:val="22"/>
          <w:szCs w:val="22"/>
        </w:rPr>
        <w:t xml:space="preserve">s </w:t>
      </w:r>
      <w:r w:rsidR="00712D92">
        <w:rPr>
          <w:rFonts w:asciiTheme="minorHAnsi" w:hAnsiTheme="minorHAnsi"/>
          <w:sz w:val="22"/>
          <w:szCs w:val="22"/>
        </w:rPr>
        <w:t>such as</w:t>
      </w:r>
      <w:r w:rsidRPr="00D06382">
        <w:rPr>
          <w:rFonts w:asciiTheme="minorHAnsi" w:hAnsiTheme="minorHAnsi"/>
          <w:sz w:val="22"/>
          <w:szCs w:val="22"/>
        </w:rPr>
        <w:t xml:space="preserve"> toilet flushing and irrigation. Tier 2, for example, requires a 40% reduction in potable water use for irrigation compared to a mid-summer baseline case.</w:t>
      </w:r>
    </w:p>
    <w:p w14:paraId="042343AF"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Ecology and Biodiversity</w:t>
      </w:r>
    </w:p>
    <w:p w14:paraId="57E845C6"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TGS places significant emphasis on enhancing urban ecology and biodiversity. Key requirements include:</w:t>
      </w:r>
    </w:p>
    <w:p w14:paraId="04C9956D" w14:textId="77777777" w:rsidR="00052B3F" w:rsidRPr="00D06382" w:rsidRDefault="00052B3F" w:rsidP="007D5ACF">
      <w:pPr>
        <w:pStyle w:val="whitespace-pre-wrap"/>
        <w:numPr>
          <w:ilvl w:val="0"/>
          <w:numId w:val="32"/>
        </w:numPr>
        <w:jc w:val="both"/>
        <w:rPr>
          <w:rFonts w:asciiTheme="minorHAnsi" w:hAnsiTheme="minorHAnsi"/>
          <w:sz w:val="22"/>
          <w:szCs w:val="22"/>
        </w:rPr>
      </w:pPr>
      <w:r w:rsidRPr="00D06382">
        <w:rPr>
          <w:rFonts w:asciiTheme="minorHAnsi" w:hAnsiTheme="minorHAnsi"/>
          <w:sz w:val="22"/>
          <w:szCs w:val="22"/>
        </w:rPr>
        <w:t>Tree planting: Tier 1 mandates a minimum soil volume of 30m³ per tree to ensure healthy growth</w:t>
      </w:r>
    </w:p>
    <w:p w14:paraId="44761791" w14:textId="77777777" w:rsidR="00052B3F" w:rsidRPr="00D06382" w:rsidRDefault="00052B3F" w:rsidP="007D5ACF">
      <w:pPr>
        <w:pStyle w:val="whitespace-pre-wrap"/>
        <w:numPr>
          <w:ilvl w:val="0"/>
          <w:numId w:val="32"/>
        </w:numPr>
        <w:jc w:val="both"/>
        <w:rPr>
          <w:rFonts w:asciiTheme="minorHAnsi" w:hAnsiTheme="minorHAnsi"/>
          <w:sz w:val="22"/>
          <w:szCs w:val="22"/>
        </w:rPr>
      </w:pPr>
      <w:r w:rsidRPr="00D06382">
        <w:rPr>
          <w:rFonts w:asciiTheme="minorHAnsi" w:hAnsiTheme="minorHAnsi"/>
          <w:sz w:val="22"/>
          <w:szCs w:val="22"/>
        </w:rPr>
        <w:t>Native species: The use of native plant species is required for landscaping, with higher tiers requiring a greater percentage of native species</w:t>
      </w:r>
    </w:p>
    <w:p w14:paraId="0172EC86" w14:textId="559E0FA7" w:rsidR="00052B3F" w:rsidRPr="00D06382" w:rsidRDefault="00052B3F" w:rsidP="007D5ACF">
      <w:pPr>
        <w:pStyle w:val="whitespace-pre-wrap"/>
        <w:numPr>
          <w:ilvl w:val="0"/>
          <w:numId w:val="32"/>
        </w:numPr>
        <w:jc w:val="both"/>
        <w:rPr>
          <w:rFonts w:asciiTheme="minorHAnsi" w:hAnsiTheme="minorHAnsi"/>
          <w:sz w:val="22"/>
          <w:szCs w:val="22"/>
        </w:rPr>
      </w:pPr>
      <w:r w:rsidRPr="00D06382">
        <w:rPr>
          <w:rFonts w:asciiTheme="minorHAnsi" w:hAnsiTheme="minorHAnsi"/>
          <w:sz w:val="22"/>
          <w:szCs w:val="22"/>
        </w:rPr>
        <w:t>Green roofs: The standard integrates with Toronto</w:t>
      </w:r>
      <w:r w:rsidR="00027B17">
        <w:rPr>
          <w:rFonts w:asciiTheme="minorHAnsi" w:hAnsiTheme="minorHAnsi"/>
          <w:sz w:val="22"/>
          <w:szCs w:val="22"/>
        </w:rPr>
        <w:t>’</w:t>
      </w:r>
      <w:r w:rsidRPr="00D06382">
        <w:rPr>
          <w:rFonts w:asciiTheme="minorHAnsi" w:hAnsiTheme="minorHAnsi"/>
          <w:sz w:val="22"/>
          <w:szCs w:val="22"/>
        </w:rPr>
        <w:t>s Green Roof Bylaw, requiring a certain percentage of available roof space to be covered by green roofs. This percentage increases with higher tiers.</w:t>
      </w:r>
    </w:p>
    <w:p w14:paraId="30E871CD" w14:textId="77777777" w:rsidR="00052B3F" w:rsidRPr="00D06382" w:rsidRDefault="00052B3F" w:rsidP="007D5ACF">
      <w:pPr>
        <w:pStyle w:val="whitespace-pre-wrap"/>
        <w:numPr>
          <w:ilvl w:val="0"/>
          <w:numId w:val="32"/>
        </w:numPr>
        <w:jc w:val="both"/>
        <w:rPr>
          <w:rFonts w:asciiTheme="minorHAnsi" w:hAnsiTheme="minorHAnsi"/>
          <w:sz w:val="22"/>
          <w:szCs w:val="22"/>
        </w:rPr>
      </w:pPr>
      <w:r w:rsidRPr="00D06382">
        <w:rPr>
          <w:rFonts w:asciiTheme="minorHAnsi" w:hAnsiTheme="minorHAnsi"/>
          <w:sz w:val="22"/>
          <w:szCs w:val="22"/>
        </w:rPr>
        <w:t>Bird-friendly design: Measures to reduce bird collisions with buildings are required, such as visual markers on glass surfaces (City of Toronto, 2022c)</w:t>
      </w:r>
    </w:p>
    <w:p w14:paraId="606283E3"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Higher tiers introduce additional ecological requirements. For instance, Tier 2 requires that 25% of the site be landscaped with native flowering species to support pollinators.</w:t>
      </w:r>
    </w:p>
    <w:p w14:paraId="3E6A8C92"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Solid Waste</w:t>
      </w:r>
    </w:p>
    <w:p w14:paraId="189F8AD1"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TGS addresses waste management both during construction and for the operational life of the building:</w:t>
      </w:r>
    </w:p>
    <w:p w14:paraId="3B9D3C3B" w14:textId="77777777" w:rsidR="00052B3F" w:rsidRPr="00D06382" w:rsidRDefault="00052B3F" w:rsidP="007D5ACF">
      <w:pPr>
        <w:pStyle w:val="whitespace-pre-wrap"/>
        <w:numPr>
          <w:ilvl w:val="0"/>
          <w:numId w:val="33"/>
        </w:numPr>
        <w:jc w:val="both"/>
        <w:rPr>
          <w:rFonts w:asciiTheme="minorHAnsi" w:hAnsiTheme="minorHAnsi"/>
          <w:sz w:val="22"/>
          <w:szCs w:val="22"/>
        </w:rPr>
      </w:pPr>
      <w:r w:rsidRPr="00D06382">
        <w:rPr>
          <w:rFonts w:asciiTheme="minorHAnsi" w:hAnsiTheme="minorHAnsi"/>
          <w:sz w:val="22"/>
          <w:szCs w:val="22"/>
        </w:rPr>
        <w:t>For Tier 1, multi-unit residential buildings must provide collection and sorting systems for garbage, recycling, and organics</w:t>
      </w:r>
    </w:p>
    <w:p w14:paraId="1A1C8824" w14:textId="77777777" w:rsidR="00052B3F" w:rsidRPr="00D06382" w:rsidRDefault="00052B3F" w:rsidP="007D5ACF">
      <w:pPr>
        <w:pStyle w:val="whitespace-pre-wrap"/>
        <w:numPr>
          <w:ilvl w:val="0"/>
          <w:numId w:val="33"/>
        </w:numPr>
        <w:jc w:val="both"/>
        <w:rPr>
          <w:rFonts w:asciiTheme="minorHAnsi" w:hAnsiTheme="minorHAnsi"/>
          <w:sz w:val="22"/>
          <w:szCs w:val="22"/>
        </w:rPr>
      </w:pPr>
      <w:r w:rsidRPr="00D06382">
        <w:rPr>
          <w:rFonts w:asciiTheme="minorHAnsi" w:hAnsiTheme="minorHAnsi"/>
          <w:sz w:val="22"/>
          <w:szCs w:val="22"/>
        </w:rPr>
        <w:t>A construction waste management plan is required, with targets for waste diversion from landfills</w:t>
      </w:r>
    </w:p>
    <w:p w14:paraId="539F8559" w14:textId="77777777" w:rsidR="00052B3F" w:rsidRPr="00D06382" w:rsidRDefault="00052B3F" w:rsidP="007D5ACF">
      <w:pPr>
        <w:pStyle w:val="whitespace-pre-wrap"/>
        <w:numPr>
          <w:ilvl w:val="0"/>
          <w:numId w:val="33"/>
        </w:numPr>
        <w:jc w:val="both"/>
        <w:rPr>
          <w:rFonts w:asciiTheme="minorHAnsi" w:hAnsiTheme="minorHAnsi"/>
          <w:sz w:val="22"/>
          <w:szCs w:val="22"/>
        </w:rPr>
      </w:pPr>
      <w:r w:rsidRPr="00D06382">
        <w:rPr>
          <w:rFonts w:asciiTheme="minorHAnsi" w:hAnsiTheme="minorHAnsi"/>
          <w:sz w:val="22"/>
          <w:szCs w:val="22"/>
        </w:rPr>
        <w:t>Higher tiers introduce more stringent waste diversion targets and requirements for material reuse and recycling</w:t>
      </w:r>
    </w:p>
    <w:p w14:paraId="560BF5AE" w14:textId="70E63471" w:rsidR="00406BF9"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For instance, Tier 2 requires that 75% of construction waste be diverted from landfills, and this percentage increases to 85% for Tiers 3 and 4.</w:t>
      </w:r>
    </w:p>
    <w:p w14:paraId="0185CB5F" w14:textId="77777777" w:rsidR="00052B3F" w:rsidRPr="00AA574A" w:rsidRDefault="00052B3F" w:rsidP="00AA574A">
      <w:pPr>
        <w:pStyle w:val="Heading3"/>
      </w:pPr>
      <w:bookmarkStart w:id="24" w:name="_Toc202742989"/>
      <w:r w:rsidRPr="00AA574A">
        <w:t>Requirements for Existing Buildings</w:t>
      </w:r>
      <w:bookmarkEnd w:id="24"/>
    </w:p>
    <w:p w14:paraId="04D7BB5B" w14:textId="31A01BCA"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While the TGS primarily focuses on new developments, it also provides guidelines for existing buildings undergoing major renovations. These requirements are designed to improve the environmental performance of Toronto</w:t>
      </w:r>
      <w:r w:rsidR="00027B17">
        <w:rPr>
          <w:rFonts w:asciiTheme="minorHAnsi" w:hAnsiTheme="minorHAnsi"/>
          <w:sz w:val="22"/>
          <w:szCs w:val="22"/>
        </w:rPr>
        <w:t>’</w:t>
      </w:r>
      <w:r w:rsidRPr="00D06382">
        <w:rPr>
          <w:rFonts w:asciiTheme="minorHAnsi" w:hAnsiTheme="minorHAnsi"/>
          <w:sz w:val="22"/>
          <w:szCs w:val="22"/>
        </w:rPr>
        <w:t>s existing building stock:</w:t>
      </w:r>
    </w:p>
    <w:p w14:paraId="633B3C3E"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Energy Retrofits</w:t>
      </w:r>
    </w:p>
    <w:p w14:paraId="728305F9"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lastRenderedPageBreak/>
        <w:t>For major renovations, buildings are required to meet specific energy performance improvements:</w:t>
      </w:r>
    </w:p>
    <w:p w14:paraId="27890E2E" w14:textId="77777777" w:rsidR="00052B3F" w:rsidRPr="00D06382" w:rsidRDefault="00052B3F" w:rsidP="007D5ACF">
      <w:pPr>
        <w:pStyle w:val="whitespace-pre-wrap"/>
        <w:numPr>
          <w:ilvl w:val="0"/>
          <w:numId w:val="34"/>
        </w:numPr>
        <w:jc w:val="both"/>
        <w:rPr>
          <w:rFonts w:asciiTheme="minorHAnsi" w:hAnsiTheme="minorHAnsi"/>
          <w:sz w:val="22"/>
          <w:szCs w:val="22"/>
        </w:rPr>
      </w:pPr>
      <w:r w:rsidRPr="00D06382">
        <w:rPr>
          <w:rFonts w:asciiTheme="minorHAnsi" w:hAnsiTheme="minorHAnsi"/>
          <w:sz w:val="22"/>
          <w:szCs w:val="22"/>
        </w:rPr>
        <w:t>The exact requirements depend on the building type and the extent of the renovation</w:t>
      </w:r>
    </w:p>
    <w:p w14:paraId="4FF1C3C4" w14:textId="77777777" w:rsidR="00052B3F" w:rsidRPr="00D06382" w:rsidRDefault="00052B3F" w:rsidP="007D5ACF">
      <w:pPr>
        <w:pStyle w:val="whitespace-pre-wrap"/>
        <w:numPr>
          <w:ilvl w:val="0"/>
          <w:numId w:val="34"/>
        </w:numPr>
        <w:jc w:val="both"/>
        <w:rPr>
          <w:rFonts w:asciiTheme="minorHAnsi" w:hAnsiTheme="minorHAnsi"/>
          <w:sz w:val="22"/>
          <w:szCs w:val="22"/>
        </w:rPr>
      </w:pPr>
      <w:r w:rsidRPr="00D06382">
        <w:rPr>
          <w:rFonts w:asciiTheme="minorHAnsi" w:hAnsiTheme="minorHAnsi"/>
          <w:sz w:val="22"/>
          <w:szCs w:val="22"/>
        </w:rPr>
        <w:t>Generally, renovated buildings are expected to achieve energy performance levels closer to those required for new construction.</w:t>
      </w:r>
    </w:p>
    <w:p w14:paraId="08F013DE" w14:textId="77777777" w:rsidR="00052B3F" w:rsidRPr="00D06382" w:rsidRDefault="00052B3F" w:rsidP="007D5ACF">
      <w:pPr>
        <w:pStyle w:val="whitespace-pre-wrap"/>
        <w:numPr>
          <w:ilvl w:val="0"/>
          <w:numId w:val="34"/>
        </w:numPr>
        <w:jc w:val="both"/>
        <w:rPr>
          <w:rFonts w:asciiTheme="minorHAnsi" w:hAnsiTheme="minorHAnsi"/>
          <w:sz w:val="22"/>
          <w:szCs w:val="22"/>
        </w:rPr>
      </w:pPr>
      <w:r w:rsidRPr="00D06382">
        <w:rPr>
          <w:rFonts w:asciiTheme="minorHAnsi" w:hAnsiTheme="minorHAnsi"/>
          <w:sz w:val="22"/>
          <w:szCs w:val="22"/>
        </w:rPr>
        <w:t>For instance, a major renovation might be required to achieve a 40% improvement in energy efficiency compared to the pre-renovation performance (City of Toronto, 2022d)</w:t>
      </w:r>
    </w:p>
    <w:p w14:paraId="7D36E112"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Water Efficiency</w:t>
      </w:r>
    </w:p>
    <w:p w14:paraId="3D655CEF"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Existing buildings undergoing renovations are encouraged to implement water-efficient fixtures and appliances:</w:t>
      </w:r>
    </w:p>
    <w:p w14:paraId="74AB1E27" w14:textId="77777777" w:rsidR="00052B3F" w:rsidRPr="00D06382" w:rsidRDefault="00052B3F" w:rsidP="007D5ACF">
      <w:pPr>
        <w:pStyle w:val="whitespace-pre-wrap"/>
        <w:numPr>
          <w:ilvl w:val="0"/>
          <w:numId w:val="35"/>
        </w:numPr>
        <w:jc w:val="both"/>
        <w:rPr>
          <w:rFonts w:asciiTheme="minorHAnsi" w:hAnsiTheme="minorHAnsi"/>
          <w:sz w:val="22"/>
          <w:szCs w:val="22"/>
        </w:rPr>
      </w:pPr>
      <w:r w:rsidRPr="00D06382">
        <w:rPr>
          <w:rFonts w:asciiTheme="minorHAnsi" w:hAnsiTheme="minorHAnsi"/>
          <w:sz w:val="22"/>
          <w:szCs w:val="22"/>
        </w:rPr>
        <w:t>This typically includes low-flow faucets, dual-flush toilets, and water-efficient appliances</w:t>
      </w:r>
    </w:p>
    <w:p w14:paraId="63B0BC7F" w14:textId="77777777" w:rsidR="00052B3F" w:rsidRPr="00D06382" w:rsidRDefault="00052B3F" w:rsidP="007D5ACF">
      <w:pPr>
        <w:pStyle w:val="whitespace-pre-wrap"/>
        <w:numPr>
          <w:ilvl w:val="0"/>
          <w:numId w:val="35"/>
        </w:numPr>
        <w:jc w:val="both"/>
        <w:rPr>
          <w:rFonts w:asciiTheme="minorHAnsi" w:hAnsiTheme="minorHAnsi"/>
          <w:sz w:val="22"/>
          <w:szCs w:val="22"/>
        </w:rPr>
      </w:pPr>
      <w:r w:rsidRPr="00D06382">
        <w:rPr>
          <w:rFonts w:asciiTheme="minorHAnsi" w:hAnsiTheme="minorHAnsi"/>
          <w:sz w:val="22"/>
          <w:szCs w:val="22"/>
        </w:rPr>
        <w:t>The standard also encourages the retrofit of irrigation systems to reduce outdoor water use</w:t>
      </w:r>
    </w:p>
    <w:p w14:paraId="0E3C3792"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Waste Management</w:t>
      </w:r>
    </w:p>
    <w:p w14:paraId="372C90F0"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Renovations of existing buildings must include provisions for waste sorting and collection systems:</w:t>
      </w:r>
    </w:p>
    <w:p w14:paraId="43C12A2B" w14:textId="77777777" w:rsidR="00052B3F" w:rsidRPr="00D06382" w:rsidRDefault="00052B3F" w:rsidP="007D5ACF">
      <w:pPr>
        <w:pStyle w:val="whitespace-pre-wrap"/>
        <w:numPr>
          <w:ilvl w:val="0"/>
          <w:numId w:val="36"/>
        </w:numPr>
        <w:jc w:val="both"/>
        <w:rPr>
          <w:rFonts w:asciiTheme="minorHAnsi" w:hAnsiTheme="minorHAnsi"/>
          <w:sz w:val="22"/>
          <w:szCs w:val="22"/>
        </w:rPr>
      </w:pPr>
      <w:r w:rsidRPr="00D06382">
        <w:rPr>
          <w:rFonts w:asciiTheme="minorHAnsi" w:hAnsiTheme="minorHAnsi"/>
          <w:sz w:val="22"/>
          <w:szCs w:val="22"/>
        </w:rPr>
        <w:t>This often involves retrofitting waste storage areas to accommodate separate streams for garbage, recycling, and organics</w:t>
      </w:r>
    </w:p>
    <w:p w14:paraId="647B8B6F" w14:textId="77777777" w:rsidR="00052B3F" w:rsidRPr="00D06382" w:rsidRDefault="00052B3F" w:rsidP="007D5ACF">
      <w:pPr>
        <w:pStyle w:val="whitespace-pre-wrap"/>
        <w:numPr>
          <w:ilvl w:val="0"/>
          <w:numId w:val="36"/>
        </w:numPr>
        <w:jc w:val="both"/>
        <w:rPr>
          <w:rFonts w:asciiTheme="minorHAnsi" w:hAnsiTheme="minorHAnsi"/>
          <w:sz w:val="22"/>
          <w:szCs w:val="22"/>
        </w:rPr>
      </w:pPr>
      <w:r w:rsidRPr="00D06382">
        <w:rPr>
          <w:rFonts w:asciiTheme="minorHAnsi" w:hAnsiTheme="minorHAnsi"/>
          <w:sz w:val="22"/>
          <w:szCs w:val="22"/>
        </w:rPr>
        <w:t>For more extensive renovations, there may be requirements to incorporate more advanced waste management systems, such as tri-sorters in multi-unit residential buildings.</w:t>
      </w:r>
    </w:p>
    <w:p w14:paraId="72A11D07"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Ecology</w:t>
      </w:r>
    </w:p>
    <w:p w14:paraId="29E3917A"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When renovating existing buildings, there are requirements to maintain or enhance existing green spaces and tree canopy:</w:t>
      </w:r>
    </w:p>
    <w:p w14:paraId="1A50B995" w14:textId="77777777" w:rsidR="00052B3F" w:rsidRPr="00D06382" w:rsidRDefault="00052B3F" w:rsidP="007D5ACF">
      <w:pPr>
        <w:pStyle w:val="whitespace-pre-wrap"/>
        <w:numPr>
          <w:ilvl w:val="0"/>
          <w:numId w:val="37"/>
        </w:numPr>
        <w:jc w:val="both"/>
        <w:rPr>
          <w:rFonts w:asciiTheme="minorHAnsi" w:hAnsiTheme="minorHAnsi"/>
          <w:sz w:val="22"/>
          <w:szCs w:val="22"/>
        </w:rPr>
      </w:pPr>
      <w:r w:rsidRPr="00D06382">
        <w:rPr>
          <w:rFonts w:asciiTheme="minorHAnsi" w:hAnsiTheme="minorHAnsi"/>
          <w:sz w:val="22"/>
          <w:szCs w:val="22"/>
        </w:rPr>
        <w:t>This might involve protecting existing trees during construction</w:t>
      </w:r>
    </w:p>
    <w:p w14:paraId="25EC4ED0" w14:textId="77777777" w:rsidR="00052B3F" w:rsidRPr="00D06382" w:rsidRDefault="00052B3F" w:rsidP="007D5ACF">
      <w:pPr>
        <w:pStyle w:val="whitespace-pre-wrap"/>
        <w:numPr>
          <w:ilvl w:val="0"/>
          <w:numId w:val="37"/>
        </w:numPr>
        <w:jc w:val="both"/>
        <w:rPr>
          <w:rFonts w:asciiTheme="minorHAnsi" w:hAnsiTheme="minorHAnsi"/>
          <w:sz w:val="22"/>
          <w:szCs w:val="22"/>
        </w:rPr>
      </w:pPr>
      <w:r w:rsidRPr="00D06382">
        <w:rPr>
          <w:rFonts w:asciiTheme="minorHAnsi" w:hAnsiTheme="minorHAnsi"/>
          <w:sz w:val="22"/>
          <w:szCs w:val="22"/>
        </w:rPr>
        <w:t>Where trees need to be removed, there are typically requirements for replacement planting</w:t>
      </w:r>
    </w:p>
    <w:p w14:paraId="7598588D" w14:textId="77777777" w:rsidR="00052B3F" w:rsidRPr="00D06382" w:rsidRDefault="00052B3F" w:rsidP="007D5ACF">
      <w:pPr>
        <w:pStyle w:val="whitespace-pre-wrap"/>
        <w:numPr>
          <w:ilvl w:val="0"/>
          <w:numId w:val="37"/>
        </w:numPr>
        <w:jc w:val="both"/>
        <w:rPr>
          <w:rFonts w:asciiTheme="minorHAnsi" w:hAnsiTheme="minorHAnsi"/>
          <w:sz w:val="22"/>
          <w:szCs w:val="22"/>
        </w:rPr>
      </w:pPr>
      <w:r w:rsidRPr="00D06382">
        <w:rPr>
          <w:rFonts w:asciiTheme="minorHAnsi" w:hAnsiTheme="minorHAnsi"/>
          <w:sz w:val="22"/>
          <w:szCs w:val="22"/>
        </w:rPr>
        <w:t>For substantial renovations that affect the building envelope, there may be requirements to incorporate bird-friendly design features.</w:t>
      </w:r>
    </w:p>
    <w:p w14:paraId="7C54A3E5" w14:textId="7853CEEE" w:rsidR="00052B3F" w:rsidRPr="00AA574A" w:rsidRDefault="00052B3F" w:rsidP="00052B3F">
      <w:pPr>
        <w:rPr>
          <w:rFonts w:cs="Times New Roman"/>
          <w:b/>
          <w:bCs/>
        </w:rPr>
      </w:pPr>
      <w:r w:rsidRPr="00D06382">
        <w:rPr>
          <w:rFonts w:cs="Times New Roman"/>
          <w:b/>
          <w:bCs/>
        </w:rPr>
        <w:t>Stormwater Management</w:t>
      </w:r>
    </w:p>
    <w:p w14:paraId="3B0046B6" w14:textId="7B9C7DBC" w:rsidR="00052B3F" w:rsidRPr="00D06382" w:rsidRDefault="00052B3F" w:rsidP="00052B3F">
      <w:pPr>
        <w:jc w:val="both"/>
        <w:rPr>
          <w:rFonts w:eastAsiaTheme="majorEastAsia" w:cs="Times New Roman"/>
        </w:rPr>
      </w:pPr>
      <w:r w:rsidRPr="00D06382">
        <w:rPr>
          <w:rFonts w:eastAsiaTheme="majorEastAsia" w:cs="Times New Roman"/>
        </w:rPr>
        <w:lastRenderedPageBreak/>
        <w:t>The Toronto Green Standard (TGS) incorporates comprehensive stormwater management requirements across its tiered system, and these are primarily addressed in the Water Quality, Quantity &amp; Efficiency section of the standard.</w:t>
      </w:r>
    </w:p>
    <w:p w14:paraId="2EF8D988" w14:textId="1123F454" w:rsidR="00052B3F" w:rsidRPr="00D06382" w:rsidRDefault="00052B3F" w:rsidP="00052B3F">
      <w:pPr>
        <w:jc w:val="both"/>
        <w:rPr>
          <w:rFonts w:eastAsiaTheme="majorEastAsia" w:cs="Times New Roman"/>
        </w:rPr>
      </w:pPr>
      <w:r w:rsidRPr="00D06382">
        <w:rPr>
          <w:rFonts w:eastAsiaTheme="majorEastAsia" w:cs="Times New Roman"/>
        </w:rPr>
        <w:t>At Tier 1, which is mandatory for all new developments, the TGS sets foundational requirements for stormwater management:</w:t>
      </w:r>
    </w:p>
    <w:p w14:paraId="61072628" w14:textId="2CA34C09" w:rsidR="00052B3F" w:rsidRPr="00D06382" w:rsidRDefault="00052B3F" w:rsidP="007D5ACF">
      <w:pPr>
        <w:pStyle w:val="ListParagraph"/>
        <w:numPr>
          <w:ilvl w:val="0"/>
          <w:numId w:val="41"/>
        </w:numPr>
        <w:spacing w:after="0" w:line="240" w:lineRule="auto"/>
        <w:jc w:val="both"/>
        <w:rPr>
          <w:rFonts w:eastAsiaTheme="majorEastAsia" w:cs="Times New Roman"/>
        </w:rPr>
      </w:pPr>
      <w:r w:rsidRPr="00D06382">
        <w:rPr>
          <w:rFonts w:eastAsiaTheme="majorEastAsia" w:cs="Times New Roman"/>
        </w:rPr>
        <w:t>Water Balance: Developments must retain a minimum of 5mm of rainfall from all site surfaces through infiltration, evapotranspiration, and/or reuse. This equates to retaining 50% of the average annual rainfall volume (City of Toronto, 2022c). This requirement aims to mimic natural hydrological processes and reduce the volume of stormwater runoff.</w:t>
      </w:r>
    </w:p>
    <w:p w14:paraId="560DA5A9" w14:textId="77777777" w:rsidR="00406BF9" w:rsidRPr="00D06382" w:rsidRDefault="00406BF9" w:rsidP="00406BF9">
      <w:pPr>
        <w:pStyle w:val="ListParagraph"/>
        <w:spacing w:after="0" w:line="240" w:lineRule="auto"/>
        <w:jc w:val="both"/>
        <w:rPr>
          <w:rFonts w:eastAsiaTheme="majorEastAsia" w:cs="Times New Roman"/>
        </w:rPr>
      </w:pPr>
    </w:p>
    <w:p w14:paraId="1190C3EE" w14:textId="2D5A50C6" w:rsidR="00052B3F" w:rsidRPr="00D06382" w:rsidRDefault="00052B3F" w:rsidP="007D5ACF">
      <w:pPr>
        <w:pStyle w:val="ListParagraph"/>
        <w:numPr>
          <w:ilvl w:val="0"/>
          <w:numId w:val="41"/>
        </w:numPr>
        <w:spacing w:after="0" w:line="240" w:lineRule="auto"/>
        <w:jc w:val="both"/>
        <w:rPr>
          <w:rFonts w:eastAsiaTheme="majorEastAsia" w:cs="Times New Roman"/>
        </w:rPr>
      </w:pPr>
      <w:r w:rsidRPr="00D06382">
        <w:rPr>
          <w:rFonts w:eastAsiaTheme="majorEastAsia" w:cs="Times New Roman"/>
        </w:rPr>
        <w:t>Water Quality: Projects must provide enhanced protection for water quality by achieving the long-term removal of 80% of Total Suspended Solids (TSS) on an annual loading basis from all runoffs leaving the site. This target addresses the need to improve water quality entering the city</w:t>
      </w:r>
      <w:r w:rsidR="00027B17">
        <w:rPr>
          <w:rFonts w:eastAsiaTheme="majorEastAsia" w:cs="Times New Roman"/>
        </w:rPr>
        <w:t>’</w:t>
      </w:r>
      <w:r w:rsidRPr="00D06382">
        <w:rPr>
          <w:rFonts w:eastAsiaTheme="majorEastAsia" w:cs="Times New Roman"/>
        </w:rPr>
        <w:t>s waterways and Lake Ontario.</w:t>
      </w:r>
    </w:p>
    <w:p w14:paraId="137BF51A" w14:textId="77777777" w:rsidR="00406BF9" w:rsidRPr="00D41DFF" w:rsidRDefault="00406BF9" w:rsidP="00D41DFF">
      <w:pPr>
        <w:spacing w:after="0" w:line="240" w:lineRule="auto"/>
        <w:jc w:val="both"/>
        <w:rPr>
          <w:rFonts w:eastAsiaTheme="majorEastAsia" w:cs="Times New Roman"/>
        </w:rPr>
      </w:pPr>
    </w:p>
    <w:p w14:paraId="79B93EE6" w14:textId="77777777" w:rsidR="00052B3F" w:rsidRPr="00D06382" w:rsidRDefault="00052B3F" w:rsidP="007D5ACF">
      <w:pPr>
        <w:pStyle w:val="ListParagraph"/>
        <w:numPr>
          <w:ilvl w:val="0"/>
          <w:numId w:val="41"/>
        </w:numPr>
        <w:spacing w:after="0" w:line="240" w:lineRule="auto"/>
        <w:jc w:val="both"/>
        <w:rPr>
          <w:rFonts w:eastAsiaTheme="majorEastAsia" w:cs="Times New Roman"/>
        </w:rPr>
      </w:pPr>
      <w:r w:rsidRPr="00D06382">
        <w:rPr>
          <w:rFonts w:eastAsiaTheme="majorEastAsia" w:cs="Times New Roman"/>
        </w:rPr>
        <w:t>Water Quantity: Peak flow control measures are required to manage flood risk and erosion and protect municipal sewer systems. The specific requirements vary depending on the location and receiving water body.</w:t>
      </w:r>
    </w:p>
    <w:p w14:paraId="270975FF" w14:textId="77777777" w:rsidR="00D41DFF" w:rsidRDefault="00D41DFF" w:rsidP="00052B3F">
      <w:pPr>
        <w:rPr>
          <w:rFonts w:eastAsiaTheme="majorEastAsia" w:cs="Times New Roman"/>
        </w:rPr>
      </w:pPr>
    </w:p>
    <w:p w14:paraId="009F4F21" w14:textId="3FEAA003" w:rsidR="00052B3F" w:rsidRPr="00D06382" w:rsidRDefault="00052B3F" w:rsidP="00052B3F">
      <w:pPr>
        <w:rPr>
          <w:rFonts w:eastAsiaTheme="majorEastAsia" w:cs="Times New Roman"/>
        </w:rPr>
      </w:pPr>
      <w:r w:rsidRPr="00D06382">
        <w:rPr>
          <w:rFonts w:eastAsiaTheme="majorEastAsia" w:cs="Times New Roman"/>
        </w:rPr>
        <w:t>Higher tiers of the TGS (Tiers 2-4) introduce more stringent and innovative stormwater management practices:</w:t>
      </w:r>
    </w:p>
    <w:p w14:paraId="1C3F49F5" w14:textId="3DE9CB10" w:rsidR="00052B3F" w:rsidRPr="004209B1" w:rsidRDefault="00052B3F" w:rsidP="00052B3F">
      <w:pPr>
        <w:pStyle w:val="ListParagraph"/>
        <w:numPr>
          <w:ilvl w:val="0"/>
          <w:numId w:val="42"/>
        </w:numPr>
        <w:spacing w:after="0" w:line="240" w:lineRule="auto"/>
        <w:rPr>
          <w:rFonts w:eastAsiaTheme="majorEastAsia" w:cs="Times New Roman"/>
        </w:rPr>
      </w:pPr>
      <w:r w:rsidRPr="00D06382">
        <w:rPr>
          <w:rFonts w:eastAsiaTheme="majorEastAsia" w:cs="Times New Roman"/>
        </w:rPr>
        <w:t>Green Infrastructure: The higher tiers encourage the use of green infrastructure solutions such as bioretention facilities, green roofs, and permeable pavements. For instance, Tier 2 requires that at least 75% of the site</w:t>
      </w:r>
      <w:r w:rsidR="00027B17">
        <w:rPr>
          <w:rFonts w:eastAsiaTheme="majorEastAsia" w:cs="Times New Roman"/>
        </w:rPr>
        <w:t>’</w:t>
      </w:r>
      <w:r w:rsidRPr="00D06382">
        <w:rPr>
          <w:rFonts w:eastAsiaTheme="majorEastAsia" w:cs="Times New Roman"/>
        </w:rPr>
        <w:t>s non-roof hardscape be treated for stormwater runoff using green infrastructure (City of Toronto, 2022c).</w:t>
      </w:r>
    </w:p>
    <w:p w14:paraId="2EBD5ADC" w14:textId="77EA26E9" w:rsidR="00052B3F" w:rsidRPr="004209B1" w:rsidRDefault="00052B3F" w:rsidP="00052B3F">
      <w:pPr>
        <w:pStyle w:val="ListParagraph"/>
        <w:numPr>
          <w:ilvl w:val="0"/>
          <w:numId w:val="42"/>
        </w:numPr>
        <w:spacing w:after="0" w:line="240" w:lineRule="auto"/>
        <w:rPr>
          <w:rFonts w:eastAsiaTheme="majorEastAsia" w:cs="Times New Roman"/>
        </w:rPr>
      </w:pPr>
      <w:r w:rsidRPr="00D06382">
        <w:rPr>
          <w:rFonts w:eastAsiaTheme="majorEastAsia" w:cs="Times New Roman"/>
        </w:rPr>
        <w:t>Increased Retention: Higher tiers require greater on-site retention of stormwater. For example, Tier 2 mandates retention of the first 10mm of rainfall, doubling the Tier 1 requirement.</w:t>
      </w:r>
    </w:p>
    <w:p w14:paraId="6774D53D" w14:textId="226A841E" w:rsidR="00052B3F" w:rsidRPr="004209B1" w:rsidRDefault="00052B3F" w:rsidP="00052B3F">
      <w:pPr>
        <w:pStyle w:val="ListParagraph"/>
        <w:numPr>
          <w:ilvl w:val="0"/>
          <w:numId w:val="42"/>
        </w:numPr>
        <w:spacing w:after="0" w:line="240" w:lineRule="auto"/>
        <w:rPr>
          <w:rFonts w:eastAsiaTheme="majorEastAsia" w:cs="Times New Roman"/>
        </w:rPr>
      </w:pPr>
      <w:r w:rsidRPr="00D06382">
        <w:rPr>
          <w:rFonts w:eastAsiaTheme="majorEastAsia" w:cs="Times New Roman"/>
        </w:rPr>
        <w:t>Rainwater Harvesting: The higher tiers promote the capture and reuse of rainwater for non-potable purposes such as irrigation or toilet flushing.</w:t>
      </w:r>
    </w:p>
    <w:p w14:paraId="223AD54E" w14:textId="23FBF4AF" w:rsidR="00052B3F" w:rsidRPr="00AA574A" w:rsidRDefault="00052B3F" w:rsidP="00052B3F">
      <w:pPr>
        <w:pStyle w:val="ListParagraph"/>
        <w:numPr>
          <w:ilvl w:val="0"/>
          <w:numId w:val="42"/>
        </w:numPr>
        <w:spacing w:after="0" w:line="240" w:lineRule="auto"/>
        <w:rPr>
          <w:rFonts w:eastAsiaTheme="majorEastAsia" w:cs="Times New Roman"/>
        </w:rPr>
      </w:pPr>
      <w:r w:rsidRPr="00D06382">
        <w:rPr>
          <w:rFonts w:eastAsiaTheme="majorEastAsia" w:cs="Times New Roman"/>
        </w:rPr>
        <w:t xml:space="preserve">Enhanced Water Quality Treatment: While Tier 1 focuses on TSS removal, higher tiers may require additional pollutant removal, such as </w:t>
      </w:r>
      <w:r w:rsidRPr="00D06382">
        <w:rPr>
          <w:rFonts w:eastAsiaTheme="majorEastAsia" w:cs="Times New Roman"/>
          <w:i/>
          <w:iCs/>
        </w:rPr>
        <w:t>E. coli</w:t>
      </w:r>
      <w:r w:rsidRPr="00D06382">
        <w:rPr>
          <w:rStyle w:val="FootnoteReference"/>
          <w:rFonts w:cs="Times New Roman"/>
          <w:i/>
          <w:iCs/>
        </w:rPr>
        <w:footnoteReference w:id="3"/>
      </w:r>
      <w:r w:rsidRPr="00D06382">
        <w:rPr>
          <w:rFonts w:eastAsiaTheme="majorEastAsia" w:cs="Times New Roman"/>
        </w:rPr>
        <w:t xml:space="preserve"> control for projects near waterfront areas.</w:t>
      </w:r>
    </w:p>
    <w:p w14:paraId="4615D24C" w14:textId="60A9D0A1" w:rsidR="00052B3F" w:rsidRPr="00D06382" w:rsidRDefault="00052B3F" w:rsidP="007D5ACF">
      <w:pPr>
        <w:pStyle w:val="ListParagraph"/>
        <w:numPr>
          <w:ilvl w:val="0"/>
          <w:numId w:val="42"/>
        </w:numPr>
        <w:spacing w:after="0" w:line="240" w:lineRule="auto"/>
        <w:rPr>
          <w:rFonts w:eastAsiaTheme="majorEastAsia" w:cs="Times New Roman"/>
        </w:rPr>
      </w:pPr>
      <w:r w:rsidRPr="00D06382">
        <w:rPr>
          <w:rFonts w:eastAsiaTheme="majorEastAsia" w:cs="Times New Roman"/>
        </w:rPr>
        <w:t>Green Roofs: The TGS integrates with Toronto</w:t>
      </w:r>
      <w:r w:rsidR="00027B17">
        <w:rPr>
          <w:rFonts w:eastAsiaTheme="majorEastAsia" w:cs="Times New Roman"/>
        </w:rPr>
        <w:t>’</w:t>
      </w:r>
      <w:r w:rsidRPr="00D06382">
        <w:rPr>
          <w:rFonts w:eastAsiaTheme="majorEastAsia" w:cs="Times New Roman"/>
        </w:rPr>
        <w:t xml:space="preserve">s Green Roof Bylaw, requiring a certain percentage of available roof space to be covered by green roofs. This percentage </w:t>
      </w:r>
      <w:r w:rsidRPr="00D06382">
        <w:rPr>
          <w:rFonts w:eastAsiaTheme="majorEastAsia" w:cs="Times New Roman"/>
        </w:rPr>
        <w:lastRenderedPageBreak/>
        <w:t>increases with higher tiers, contributing to stormwater management and urban heat island mitigation.</w:t>
      </w:r>
    </w:p>
    <w:p w14:paraId="5FEC1881"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Implementation and Compliance</w:t>
      </w:r>
    </w:p>
    <w:p w14:paraId="7F74F828" w14:textId="6BFDE25A"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implementation of the TGS is integrated into Toronto</w:t>
      </w:r>
      <w:r w:rsidR="00027B17">
        <w:rPr>
          <w:rFonts w:asciiTheme="minorHAnsi" w:hAnsiTheme="minorHAnsi"/>
          <w:sz w:val="22"/>
          <w:szCs w:val="22"/>
        </w:rPr>
        <w:t>’</w:t>
      </w:r>
      <w:r w:rsidRPr="00D06382">
        <w:rPr>
          <w:rFonts w:asciiTheme="minorHAnsi" w:hAnsiTheme="minorHAnsi"/>
          <w:sz w:val="22"/>
          <w:szCs w:val="22"/>
        </w:rPr>
        <w:t>s planning and development approval process in the following manner:</w:t>
      </w:r>
    </w:p>
    <w:p w14:paraId="45611AEE" w14:textId="77777777" w:rsidR="00052B3F" w:rsidRPr="00D06382" w:rsidRDefault="00052B3F" w:rsidP="007D5ACF">
      <w:pPr>
        <w:pStyle w:val="whitespace-pre-wrap"/>
        <w:numPr>
          <w:ilvl w:val="0"/>
          <w:numId w:val="38"/>
        </w:numPr>
        <w:jc w:val="both"/>
        <w:rPr>
          <w:rFonts w:asciiTheme="minorHAnsi" w:hAnsiTheme="minorHAnsi"/>
          <w:sz w:val="22"/>
          <w:szCs w:val="22"/>
        </w:rPr>
      </w:pPr>
      <w:r w:rsidRPr="00D06382">
        <w:rPr>
          <w:rFonts w:asciiTheme="minorHAnsi" w:hAnsiTheme="minorHAnsi"/>
          <w:sz w:val="22"/>
          <w:szCs w:val="22"/>
        </w:rPr>
        <w:t>For new developments, compliance with Tier 1 is verified at multiple stages: during the planning application, at the building permit stage, and post-construction</w:t>
      </w:r>
    </w:p>
    <w:p w14:paraId="3952F4CD" w14:textId="77777777" w:rsidR="00052B3F" w:rsidRPr="00D06382" w:rsidRDefault="00052B3F" w:rsidP="007D5ACF">
      <w:pPr>
        <w:pStyle w:val="whitespace-pre-wrap"/>
        <w:numPr>
          <w:ilvl w:val="0"/>
          <w:numId w:val="38"/>
        </w:numPr>
        <w:jc w:val="both"/>
        <w:rPr>
          <w:rFonts w:asciiTheme="minorHAnsi" w:hAnsiTheme="minorHAnsi"/>
          <w:sz w:val="22"/>
          <w:szCs w:val="22"/>
        </w:rPr>
      </w:pPr>
      <w:r w:rsidRPr="00D06382">
        <w:rPr>
          <w:rFonts w:asciiTheme="minorHAnsi" w:hAnsiTheme="minorHAnsi"/>
          <w:sz w:val="22"/>
          <w:szCs w:val="22"/>
        </w:rPr>
        <w:t>For renovations of existing buildings, the requirements are typically enforced through the building permit process</w:t>
      </w:r>
    </w:p>
    <w:p w14:paraId="3E863C3B"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City of Toronto offers resources and support to help developers and building owners navigate the TGS requirements, including guidelines, training sessions, and technical support.</w:t>
      </w:r>
    </w:p>
    <w:p w14:paraId="3EC18285"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Financial Incentives</w:t>
      </w:r>
    </w:p>
    <w:p w14:paraId="20B8EF0D"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To encourage the adoption of higher tiers, the City of Toronto offers financial incentives:</w:t>
      </w:r>
    </w:p>
    <w:p w14:paraId="71B78B2E" w14:textId="77777777" w:rsidR="00052B3F" w:rsidRPr="00D06382" w:rsidRDefault="00052B3F" w:rsidP="007D5ACF">
      <w:pPr>
        <w:pStyle w:val="whitespace-pre-wrap"/>
        <w:numPr>
          <w:ilvl w:val="0"/>
          <w:numId w:val="39"/>
        </w:numPr>
        <w:jc w:val="both"/>
        <w:rPr>
          <w:rFonts w:asciiTheme="minorHAnsi" w:hAnsiTheme="minorHAnsi"/>
          <w:sz w:val="22"/>
          <w:szCs w:val="22"/>
        </w:rPr>
      </w:pPr>
      <w:r w:rsidRPr="00D06382">
        <w:rPr>
          <w:rFonts w:asciiTheme="minorHAnsi" w:hAnsiTheme="minorHAnsi"/>
          <w:sz w:val="22"/>
          <w:szCs w:val="22"/>
        </w:rPr>
        <w:t>The Development Charge Refund Program provides partial refunds of development charges for projects that achieve Tier 2 or higher performance levels</w:t>
      </w:r>
    </w:p>
    <w:p w14:paraId="29634C2A" w14:textId="77777777" w:rsidR="00052B3F" w:rsidRPr="00D06382" w:rsidRDefault="00052B3F" w:rsidP="007D5ACF">
      <w:pPr>
        <w:pStyle w:val="whitespace-pre-wrap"/>
        <w:numPr>
          <w:ilvl w:val="0"/>
          <w:numId w:val="39"/>
        </w:numPr>
        <w:jc w:val="both"/>
        <w:rPr>
          <w:rFonts w:asciiTheme="minorHAnsi" w:hAnsiTheme="minorHAnsi"/>
          <w:sz w:val="22"/>
          <w:szCs w:val="22"/>
        </w:rPr>
      </w:pPr>
      <w:r w:rsidRPr="00D06382">
        <w:rPr>
          <w:rFonts w:asciiTheme="minorHAnsi" w:hAnsiTheme="minorHAnsi"/>
          <w:sz w:val="22"/>
          <w:szCs w:val="22"/>
        </w:rPr>
        <w:t>The exact refund amount is calculated based on the tier achieved and the size of the development</w:t>
      </w:r>
    </w:p>
    <w:p w14:paraId="7CFBBB12" w14:textId="77777777" w:rsidR="00AA574A"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Continuous Improvement</w:t>
      </w:r>
    </w:p>
    <w:p w14:paraId="460C6200" w14:textId="116579BB" w:rsidR="00052B3F" w:rsidRPr="00AA574A" w:rsidRDefault="00052B3F" w:rsidP="00052B3F">
      <w:pPr>
        <w:pStyle w:val="whitespace-pre-wrap"/>
        <w:jc w:val="both"/>
        <w:rPr>
          <w:rFonts w:asciiTheme="minorHAnsi" w:hAnsiTheme="minorHAnsi"/>
          <w:b/>
          <w:bCs/>
          <w:sz w:val="22"/>
          <w:szCs w:val="22"/>
        </w:rPr>
      </w:pPr>
      <w:r w:rsidRPr="00D06382">
        <w:rPr>
          <w:rFonts w:asciiTheme="minorHAnsi" w:hAnsiTheme="minorHAnsi"/>
          <w:sz w:val="22"/>
          <w:szCs w:val="22"/>
        </w:rPr>
        <w:t>The TGS undergoes regular updates to align with technological advancements and evolving climate action goals:</w:t>
      </w:r>
    </w:p>
    <w:p w14:paraId="641882AC" w14:textId="77777777" w:rsidR="00052B3F" w:rsidRPr="00D06382" w:rsidRDefault="00052B3F" w:rsidP="007D5ACF">
      <w:pPr>
        <w:pStyle w:val="whitespace-pre-wrap"/>
        <w:numPr>
          <w:ilvl w:val="0"/>
          <w:numId w:val="40"/>
        </w:numPr>
        <w:jc w:val="both"/>
        <w:rPr>
          <w:rFonts w:asciiTheme="minorHAnsi" w:hAnsiTheme="minorHAnsi"/>
          <w:sz w:val="22"/>
          <w:szCs w:val="22"/>
        </w:rPr>
      </w:pPr>
      <w:r w:rsidRPr="00D06382">
        <w:rPr>
          <w:rFonts w:asciiTheme="minorHAnsi" w:hAnsiTheme="minorHAnsi"/>
          <w:sz w:val="22"/>
          <w:szCs w:val="22"/>
        </w:rPr>
        <w:t>Version 4 of the TGS, implemented in 2022, introduced more stringent energy and emissions targets</w:t>
      </w:r>
    </w:p>
    <w:p w14:paraId="1B59F72C" w14:textId="39D70DC5" w:rsidR="00052B3F" w:rsidRPr="00D06382" w:rsidRDefault="00052B3F" w:rsidP="007D5ACF">
      <w:pPr>
        <w:pStyle w:val="whitespace-pre-wrap"/>
        <w:numPr>
          <w:ilvl w:val="0"/>
          <w:numId w:val="40"/>
        </w:numPr>
        <w:jc w:val="both"/>
        <w:rPr>
          <w:rFonts w:asciiTheme="minorHAnsi" w:hAnsiTheme="minorHAnsi"/>
          <w:sz w:val="22"/>
          <w:szCs w:val="22"/>
        </w:rPr>
      </w:pPr>
      <w:r w:rsidRPr="00D06382">
        <w:rPr>
          <w:rFonts w:asciiTheme="minorHAnsi" w:hAnsiTheme="minorHAnsi"/>
          <w:sz w:val="22"/>
          <w:szCs w:val="22"/>
        </w:rPr>
        <w:t>These updates reflect Toronto</w:t>
      </w:r>
      <w:r w:rsidR="00027B17">
        <w:rPr>
          <w:rFonts w:asciiTheme="minorHAnsi" w:hAnsiTheme="minorHAnsi"/>
          <w:sz w:val="22"/>
          <w:szCs w:val="22"/>
        </w:rPr>
        <w:t>’</w:t>
      </w:r>
      <w:r w:rsidRPr="00D06382">
        <w:rPr>
          <w:rFonts w:asciiTheme="minorHAnsi" w:hAnsiTheme="minorHAnsi"/>
          <w:sz w:val="22"/>
          <w:szCs w:val="22"/>
        </w:rPr>
        <w:t>s commitment to achieving net-zero emissions by 2040 and ensure that the standard remains at the forefront of sustainable building practices.</w:t>
      </w:r>
    </w:p>
    <w:p w14:paraId="656C2208" w14:textId="77777777" w:rsidR="00052B3F" w:rsidRPr="00D06382" w:rsidRDefault="00052B3F" w:rsidP="00AA574A">
      <w:pPr>
        <w:pStyle w:val="Heading2"/>
      </w:pPr>
      <w:bookmarkStart w:id="25" w:name="_Toc202742990"/>
      <w:r w:rsidRPr="00D06382">
        <w:t>International Green Building Standards</w:t>
      </w:r>
      <w:bookmarkEnd w:id="25"/>
    </w:p>
    <w:p w14:paraId="00627EF4" w14:textId="77777777" w:rsidR="00052B3F" w:rsidRPr="00D06382" w:rsidRDefault="00052B3F" w:rsidP="00052B3F">
      <w:pPr>
        <w:jc w:val="both"/>
        <w:rPr>
          <w:rFonts w:cs="Times New Roman"/>
        </w:rPr>
      </w:pPr>
      <w:r w:rsidRPr="00D06382">
        <w:rPr>
          <w:rFonts w:cs="Times New Roman"/>
        </w:rPr>
        <w:t>This section compares and contrasts four (4) prominent green building standards: LEED, CAGBC Zero Carbon Building Standard, Passive House, and BOMA BEST. Each standard is examined in terms of its main features, certification levels, and specific requirements related to energy efficiency and net zero goals.</w:t>
      </w:r>
    </w:p>
    <w:p w14:paraId="4F4AD686" w14:textId="77777777" w:rsidR="00052B3F" w:rsidRPr="00D06382" w:rsidRDefault="00052B3F" w:rsidP="00BE61A0">
      <w:pPr>
        <w:pStyle w:val="Heading3"/>
      </w:pPr>
      <w:bookmarkStart w:id="26" w:name="_Toc202742991"/>
      <w:r w:rsidRPr="00D06382">
        <w:lastRenderedPageBreak/>
        <w:t>LEED (Leadership in Energy and Environmental Design)</w:t>
      </w:r>
      <w:bookmarkEnd w:id="26"/>
    </w:p>
    <w:p w14:paraId="0678ACFE" w14:textId="3D90A216" w:rsidR="00052B3F" w:rsidRPr="00D06382" w:rsidRDefault="00052B3F" w:rsidP="00052B3F">
      <w:pPr>
        <w:jc w:val="both"/>
        <w:rPr>
          <w:rFonts w:cs="Times New Roman"/>
        </w:rPr>
      </w:pPr>
      <w:r w:rsidRPr="00D06382">
        <w:rPr>
          <w:rFonts w:cs="Times New Roman"/>
        </w:rPr>
        <w:t>LEED, developed by the U.S. Green Building Council (USGBC), is one of the most widely recognized green building certification programs globally (USGBC, 2024). It evaluates buildings across several categories, including energy efficiency, water usage, material selection, and indoor environmental quality.</w:t>
      </w:r>
    </w:p>
    <w:p w14:paraId="028FD9B9" w14:textId="70A70B84" w:rsidR="00052B3F" w:rsidRPr="00D06382" w:rsidRDefault="00052B3F" w:rsidP="00052B3F">
      <w:pPr>
        <w:jc w:val="both"/>
        <w:rPr>
          <w:rFonts w:cs="Times New Roman"/>
        </w:rPr>
      </w:pPr>
      <w:r w:rsidRPr="00D06382">
        <w:rPr>
          <w:rFonts w:cs="Times New Roman"/>
        </w:rPr>
        <w:t>The main features of this standard are:</w:t>
      </w:r>
    </w:p>
    <w:p w14:paraId="63A04115" w14:textId="77777777" w:rsidR="00052B3F" w:rsidRPr="00D06382" w:rsidRDefault="00052B3F" w:rsidP="007D5ACF">
      <w:pPr>
        <w:pStyle w:val="ListParagraph"/>
        <w:numPr>
          <w:ilvl w:val="0"/>
          <w:numId w:val="3"/>
        </w:numPr>
        <w:spacing w:after="0" w:line="240" w:lineRule="auto"/>
        <w:jc w:val="both"/>
        <w:rPr>
          <w:rFonts w:cs="Times New Roman"/>
        </w:rPr>
      </w:pPr>
      <w:r w:rsidRPr="00D06382">
        <w:rPr>
          <w:rFonts w:cs="Times New Roman"/>
        </w:rPr>
        <w:t>It adopts a holistic approach covering multiple aspects of sustainability</w:t>
      </w:r>
    </w:p>
    <w:p w14:paraId="15EDA949" w14:textId="77777777" w:rsidR="00052B3F" w:rsidRPr="00D06382" w:rsidRDefault="00052B3F" w:rsidP="007D5ACF">
      <w:pPr>
        <w:pStyle w:val="ListParagraph"/>
        <w:numPr>
          <w:ilvl w:val="0"/>
          <w:numId w:val="3"/>
        </w:numPr>
        <w:spacing w:after="0" w:line="240" w:lineRule="auto"/>
        <w:jc w:val="both"/>
        <w:rPr>
          <w:rFonts w:cs="Times New Roman"/>
        </w:rPr>
      </w:pPr>
      <w:r w:rsidRPr="00D06382">
        <w:rPr>
          <w:rFonts w:cs="Times New Roman"/>
        </w:rPr>
        <w:t>It adopts a point-based system with prerequisites and optional credits</w:t>
      </w:r>
    </w:p>
    <w:p w14:paraId="59841A27" w14:textId="77777777" w:rsidR="00052B3F" w:rsidRPr="00D06382" w:rsidRDefault="00052B3F" w:rsidP="007D5ACF">
      <w:pPr>
        <w:pStyle w:val="ListParagraph"/>
        <w:numPr>
          <w:ilvl w:val="0"/>
          <w:numId w:val="3"/>
        </w:numPr>
        <w:spacing w:after="0" w:line="240" w:lineRule="auto"/>
        <w:jc w:val="both"/>
        <w:rPr>
          <w:rFonts w:cs="Times New Roman"/>
        </w:rPr>
      </w:pPr>
      <w:r w:rsidRPr="00D06382">
        <w:rPr>
          <w:rFonts w:cs="Times New Roman"/>
        </w:rPr>
        <w:t>It is applicable to various building types and project phases</w:t>
      </w:r>
    </w:p>
    <w:p w14:paraId="3BEC32B2" w14:textId="77777777" w:rsidR="00052B3F" w:rsidRPr="00D06382" w:rsidRDefault="00052B3F" w:rsidP="007D5ACF">
      <w:pPr>
        <w:pStyle w:val="ListParagraph"/>
        <w:numPr>
          <w:ilvl w:val="0"/>
          <w:numId w:val="3"/>
        </w:numPr>
        <w:spacing w:after="0" w:line="240" w:lineRule="auto"/>
        <w:jc w:val="both"/>
        <w:rPr>
          <w:rFonts w:cs="Times New Roman"/>
        </w:rPr>
      </w:pPr>
      <w:r w:rsidRPr="00D06382">
        <w:rPr>
          <w:rFonts w:cs="Times New Roman"/>
        </w:rPr>
        <w:t>It undergoes regular updates to maintain relevance and push industry standards</w:t>
      </w:r>
    </w:p>
    <w:p w14:paraId="2335CEAB" w14:textId="77777777" w:rsidR="00E7294B" w:rsidRDefault="00E7294B" w:rsidP="00052B3F">
      <w:pPr>
        <w:jc w:val="both"/>
        <w:rPr>
          <w:rFonts w:cs="Times New Roman"/>
        </w:rPr>
      </w:pPr>
    </w:p>
    <w:p w14:paraId="49FEE775" w14:textId="682309A4" w:rsidR="00052B3F" w:rsidRPr="00D06382" w:rsidRDefault="00052B3F" w:rsidP="00052B3F">
      <w:pPr>
        <w:jc w:val="both"/>
        <w:rPr>
          <w:rFonts w:cs="Times New Roman"/>
          <w:b/>
          <w:bCs/>
        </w:rPr>
      </w:pPr>
      <w:r w:rsidRPr="00D06382">
        <w:rPr>
          <w:rFonts w:cs="Times New Roman"/>
          <w:b/>
          <w:bCs/>
        </w:rPr>
        <w:t>LEED Certification Levels</w:t>
      </w:r>
    </w:p>
    <w:p w14:paraId="19586669" w14:textId="4FA73334" w:rsidR="00052B3F" w:rsidRPr="00D06382" w:rsidRDefault="00052B3F" w:rsidP="00052B3F">
      <w:pPr>
        <w:jc w:val="both"/>
        <w:rPr>
          <w:rFonts w:cs="Times New Roman"/>
        </w:rPr>
      </w:pPr>
      <w:r w:rsidRPr="00D06382">
        <w:rPr>
          <w:rFonts w:cs="Times New Roman"/>
        </w:rPr>
        <w:t>LEED offers four certification levels based on the number of points achieved, which are:</w:t>
      </w:r>
    </w:p>
    <w:p w14:paraId="6F5D9AEA" w14:textId="77777777" w:rsidR="00052B3F" w:rsidRPr="00D06382" w:rsidRDefault="00052B3F" w:rsidP="007D5ACF">
      <w:pPr>
        <w:pStyle w:val="ListParagraph"/>
        <w:numPr>
          <w:ilvl w:val="0"/>
          <w:numId w:val="4"/>
        </w:numPr>
        <w:spacing w:after="0" w:line="240" w:lineRule="auto"/>
        <w:jc w:val="both"/>
        <w:rPr>
          <w:rFonts w:cs="Times New Roman"/>
        </w:rPr>
      </w:pPr>
      <w:r w:rsidRPr="00D06382">
        <w:rPr>
          <w:rFonts w:cs="Times New Roman"/>
        </w:rPr>
        <w:t>Certified (40-49 points)</w:t>
      </w:r>
    </w:p>
    <w:p w14:paraId="750CFBDD" w14:textId="77777777" w:rsidR="00052B3F" w:rsidRPr="00D06382" w:rsidRDefault="00052B3F" w:rsidP="007D5ACF">
      <w:pPr>
        <w:pStyle w:val="ListParagraph"/>
        <w:numPr>
          <w:ilvl w:val="0"/>
          <w:numId w:val="4"/>
        </w:numPr>
        <w:spacing w:after="0" w:line="240" w:lineRule="auto"/>
        <w:jc w:val="both"/>
        <w:rPr>
          <w:rFonts w:cs="Times New Roman"/>
        </w:rPr>
      </w:pPr>
      <w:r w:rsidRPr="00D06382">
        <w:rPr>
          <w:rFonts w:cs="Times New Roman"/>
        </w:rPr>
        <w:t>Silver (50-59 points)</w:t>
      </w:r>
    </w:p>
    <w:p w14:paraId="0E274D0B" w14:textId="77777777" w:rsidR="00052B3F" w:rsidRPr="00D06382" w:rsidRDefault="00052B3F" w:rsidP="007D5ACF">
      <w:pPr>
        <w:pStyle w:val="ListParagraph"/>
        <w:numPr>
          <w:ilvl w:val="0"/>
          <w:numId w:val="4"/>
        </w:numPr>
        <w:spacing w:after="0" w:line="240" w:lineRule="auto"/>
        <w:jc w:val="both"/>
        <w:rPr>
          <w:rFonts w:cs="Times New Roman"/>
        </w:rPr>
      </w:pPr>
      <w:r w:rsidRPr="00D06382">
        <w:rPr>
          <w:rFonts w:cs="Times New Roman"/>
        </w:rPr>
        <w:t>Gold (60-79 points)</w:t>
      </w:r>
    </w:p>
    <w:p w14:paraId="14C346F0" w14:textId="77777777" w:rsidR="00052B3F" w:rsidRPr="00D06382" w:rsidRDefault="00052B3F" w:rsidP="007D5ACF">
      <w:pPr>
        <w:pStyle w:val="ListParagraph"/>
        <w:numPr>
          <w:ilvl w:val="0"/>
          <w:numId w:val="4"/>
        </w:numPr>
        <w:spacing w:after="0" w:line="240" w:lineRule="auto"/>
        <w:jc w:val="both"/>
        <w:rPr>
          <w:rFonts w:cs="Times New Roman"/>
        </w:rPr>
      </w:pPr>
      <w:r w:rsidRPr="00D06382">
        <w:rPr>
          <w:rFonts w:cs="Times New Roman"/>
        </w:rPr>
        <w:t>Platinum (80+ points)</w:t>
      </w:r>
    </w:p>
    <w:p w14:paraId="2285118C" w14:textId="77777777" w:rsidR="00052B3F" w:rsidRPr="00D06382" w:rsidRDefault="00052B3F" w:rsidP="00052B3F">
      <w:pPr>
        <w:jc w:val="both"/>
        <w:rPr>
          <w:rFonts w:cs="Times New Roman"/>
        </w:rPr>
      </w:pPr>
    </w:p>
    <w:p w14:paraId="003F20BE" w14:textId="4DCD5959" w:rsidR="00052B3F" w:rsidRPr="00D06382" w:rsidRDefault="00052B3F" w:rsidP="00052B3F">
      <w:pPr>
        <w:jc w:val="both"/>
        <w:rPr>
          <w:rFonts w:cs="Times New Roman"/>
          <w:b/>
          <w:bCs/>
        </w:rPr>
      </w:pPr>
      <w:r w:rsidRPr="00D06382">
        <w:rPr>
          <w:rFonts w:cs="Times New Roman"/>
          <w:b/>
          <w:bCs/>
        </w:rPr>
        <w:t>Energy Efficiency and Net Zero Requirements</w:t>
      </w:r>
    </w:p>
    <w:p w14:paraId="4079EB6F" w14:textId="530155FB" w:rsidR="00052B3F" w:rsidRPr="00D06382" w:rsidRDefault="00052B3F" w:rsidP="00052B3F">
      <w:pPr>
        <w:jc w:val="both"/>
        <w:rPr>
          <w:rFonts w:cs="Times New Roman"/>
        </w:rPr>
      </w:pPr>
      <w:r w:rsidRPr="00D06382">
        <w:rPr>
          <w:rFonts w:cs="Times New Roman"/>
        </w:rPr>
        <w:t xml:space="preserve">The latest version, LEED v4.1, places significant emphasis on energy performance and greenhouse gas emissions reduction. The </w:t>
      </w:r>
      <w:r w:rsidR="00027B17">
        <w:rPr>
          <w:rFonts w:cs="Times New Roman"/>
        </w:rPr>
        <w:t>‘</w:t>
      </w:r>
      <w:r w:rsidRPr="00D06382">
        <w:rPr>
          <w:rFonts w:cs="Times New Roman"/>
        </w:rPr>
        <w:t>Energy and Atmosphere</w:t>
      </w:r>
      <w:r w:rsidR="00027B17">
        <w:rPr>
          <w:rFonts w:cs="Times New Roman"/>
        </w:rPr>
        <w:t>’</w:t>
      </w:r>
      <w:r w:rsidRPr="00D06382">
        <w:rPr>
          <w:rFonts w:cs="Times New Roman"/>
        </w:rPr>
        <w:t xml:space="preserve"> category accounts for up to 33 points, the highest among all categories (USGBC, 2023). Its key features include:</w:t>
      </w:r>
    </w:p>
    <w:p w14:paraId="2049DCA5" w14:textId="77777777" w:rsidR="00052B3F" w:rsidRPr="00D06382" w:rsidRDefault="00052B3F" w:rsidP="007D5ACF">
      <w:pPr>
        <w:pStyle w:val="ListParagraph"/>
        <w:numPr>
          <w:ilvl w:val="0"/>
          <w:numId w:val="5"/>
        </w:numPr>
        <w:spacing w:after="0" w:line="240" w:lineRule="auto"/>
        <w:jc w:val="both"/>
        <w:rPr>
          <w:rFonts w:cs="Times New Roman"/>
        </w:rPr>
      </w:pPr>
      <w:r w:rsidRPr="00D06382">
        <w:rPr>
          <w:rFonts w:cs="Times New Roman"/>
        </w:rPr>
        <w:t>A minimum energy performance prerequisite</w:t>
      </w:r>
    </w:p>
    <w:p w14:paraId="4CA27165" w14:textId="77777777" w:rsidR="00052B3F" w:rsidRPr="00D06382" w:rsidRDefault="00052B3F" w:rsidP="007D5ACF">
      <w:pPr>
        <w:pStyle w:val="ListParagraph"/>
        <w:numPr>
          <w:ilvl w:val="0"/>
          <w:numId w:val="5"/>
        </w:numPr>
        <w:spacing w:after="0" w:line="240" w:lineRule="auto"/>
        <w:jc w:val="both"/>
        <w:rPr>
          <w:rFonts w:cs="Times New Roman"/>
        </w:rPr>
      </w:pPr>
      <w:r w:rsidRPr="00D06382">
        <w:rPr>
          <w:rFonts w:cs="Times New Roman"/>
        </w:rPr>
        <w:t>Optimized energy performance credits (up to 18 points)</w:t>
      </w:r>
    </w:p>
    <w:p w14:paraId="0EE50629" w14:textId="77777777" w:rsidR="00052B3F" w:rsidRPr="00D06382" w:rsidRDefault="00052B3F" w:rsidP="007D5ACF">
      <w:pPr>
        <w:pStyle w:val="ListParagraph"/>
        <w:numPr>
          <w:ilvl w:val="0"/>
          <w:numId w:val="5"/>
        </w:numPr>
        <w:spacing w:after="0" w:line="240" w:lineRule="auto"/>
        <w:jc w:val="both"/>
        <w:rPr>
          <w:rFonts w:cs="Times New Roman"/>
        </w:rPr>
      </w:pPr>
      <w:r w:rsidRPr="00D06382">
        <w:rPr>
          <w:rFonts w:cs="Times New Roman"/>
        </w:rPr>
        <w:t>Renewable energy usage credits (up to 5 points)</w:t>
      </w:r>
    </w:p>
    <w:p w14:paraId="032A1DE7" w14:textId="77777777" w:rsidR="00052B3F" w:rsidRPr="00D06382" w:rsidRDefault="00052B3F" w:rsidP="007D5ACF">
      <w:pPr>
        <w:pStyle w:val="ListParagraph"/>
        <w:numPr>
          <w:ilvl w:val="0"/>
          <w:numId w:val="5"/>
        </w:numPr>
        <w:spacing w:after="0" w:line="240" w:lineRule="auto"/>
        <w:jc w:val="both"/>
        <w:rPr>
          <w:rFonts w:cs="Times New Roman"/>
        </w:rPr>
      </w:pPr>
      <w:r w:rsidRPr="00D06382">
        <w:rPr>
          <w:rFonts w:cs="Times New Roman"/>
        </w:rPr>
        <w:t>Enhanced refrigerant management</w:t>
      </w:r>
    </w:p>
    <w:p w14:paraId="36C69223" w14:textId="537850A0" w:rsidR="00052B3F" w:rsidRPr="00D06382" w:rsidRDefault="00052B3F" w:rsidP="007D5ACF">
      <w:pPr>
        <w:pStyle w:val="ListParagraph"/>
        <w:numPr>
          <w:ilvl w:val="0"/>
          <w:numId w:val="5"/>
        </w:numPr>
        <w:spacing w:after="0" w:line="240" w:lineRule="auto"/>
        <w:jc w:val="both"/>
        <w:rPr>
          <w:rFonts w:cs="Times New Roman"/>
        </w:rPr>
      </w:pPr>
      <w:r w:rsidRPr="00D06382">
        <w:rPr>
          <w:rFonts w:cs="Times New Roman"/>
        </w:rPr>
        <w:t>Green power and carbon offsets</w:t>
      </w:r>
    </w:p>
    <w:p w14:paraId="7AE10A1F" w14:textId="74B168E0" w:rsidR="00052B3F" w:rsidRPr="00D06382" w:rsidRDefault="00052B3F" w:rsidP="00052B3F">
      <w:pPr>
        <w:jc w:val="both"/>
        <w:rPr>
          <w:rFonts w:cs="Times New Roman"/>
        </w:rPr>
      </w:pPr>
      <w:r w:rsidRPr="00D06382">
        <w:rPr>
          <w:rFonts w:cs="Times New Roman"/>
        </w:rPr>
        <w:t xml:space="preserve">While LEED does not explicitly require net zero energy or carbon performance, it provides a useful framework to support these goals. The </w:t>
      </w:r>
      <w:r w:rsidR="00027B17">
        <w:rPr>
          <w:rFonts w:cs="Times New Roman"/>
        </w:rPr>
        <w:t>‘</w:t>
      </w:r>
      <w:r w:rsidRPr="00D06382">
        <w:rPr>
          <w:rFonts w:cs="Times New Roman"/>
        </w:rPr>
        <w:t>Zero Energy Performance Index</w:t>
      </w:r>
      <w:r w:rsidR="00027B17">
        <w:rPr>
          <w:rFonts w:cs="Times New Roman"/>
        </w:rPr>
        <w:t>’</w:t>
      </w:r>
      <w:r w:rsidRPr="00D06382">
        <w:rPr>
          <w:rFonts w:cs="Times New Roman"/>
        </w:rPr>
        <w:t xml:space="preserve"> pilot credit rewards projects that achieve net zero energy performance.</w:t>
      </w:r>
    </w:p>
    <w:p w14:paraId="12917D26" w14:textId="49B9DC79" w:rsidR="00052B3F" w:rsidRPr="00D06382" w:rsidRDefault="00052B3F" w:rsidP="00BE61A0">
      <w:pPr>
        <w:pStyle w:val="Heading3"/>
      </w:pPr>
      <w:bookmarkStart w:id="27" w:name="_Toc202742992"/>
      <w:r w:rsidRPr="00D06382">
        <w:t>CAGBC Zero Carbon Building Standard</w:t>
      </w:r>
      <w:bookmarkEnd w:id="27"/>
    </w:p>
    <w:p w14:paraId="6E481ACE" w14:textId="14FF9C04" w:rsidR="00052B3F" w:rsidRPr="00D06382" w:rsidRDefault="00052B3F" w:rsidP="00052B3F">
      <w:pPr>
        <w:jc w:val="both"/>
        <w:rPr>
          <w:rFonts w:cs="Times New Roman"/>
        </w:rPr>
      </w:pPr>
      <w:r w:rsidRPr="00D06382">
        <w:rPr>
          <w:rFonts w:cs="Times New Roman"/>
        </w:rPr>
        <w:t>The Canada Green Building Council</w:t>
      </w:r>
      <w:r w:rsidR="00027B17">
        <w:rPr>
          <w:rFonts w:cs="Times New Roman"/>
        </w:rPr>
        <w:t>’</w:t>
      </w:r>
      <w:r w:rsidRPr="00D06382">
        <w:rPr>
          <w:rFonts w:cs="Times New Roman"/>
        </w:rPr>
        <w:t>s (CAGBC) Zero Carbon Building Standard focuses on reducing carbon emissions, aiming to drive the transition to a low-carbon building sector (CAGBC, 2024).</w:t>
      </w:r>
    </w:p>
    <w:p w14:paraId="3423472D" w14:textId="4ADD87BE" w:rsidR="00052B3F" w:rsidRPr="00D06382" w:rsidRDefault="00052B3F" w:rsidP="00052B3F">
      <w:pPr>
        <w:jc w:val="both"/>
        <w:rPr>
          <w:rFonts w:cs="Times New Roman"/>
        </w:rPr>
      </w:pPr>
      <w:r w:rsidRPr="00D06382">
        <w:rPr>
          <w:rFonts w:cs="Times New Roman"/>
        </w:rPr>
        <w:t>The main features of this standard are:</w:t>
      </w:r>
    </w:p>
    <w:p w14:paraId="486E4F08" w14:textId="77777777" w:rsidR="00052B3F" w:rsidRPr="00D06382" w:rsidRDefault="00052B3F" w:rsidP="007D5ACF">
      <w:pPr>
        <w:pStyle w:val="ListParagraph"/>
        <w:numPr>
          <w:ilvl w:val="0"/>
          <w:numId w:val="6"/>
        </w:numPr>
        <w:spacing w:after="0" w:line="240" w:lineRule="auto"/>
        <w:jc w:val="both"/>
        <w:rPr>
          <w:rFonts w:cs="Times New Roman"/>
        </w:rPr>
      </w:pPr>
      <w:r w:rsidRPr="00D06382">
        <w:rPr>
          <w:rFonts w:cs="Times New Roman"/>
        </w:rPr>
        <w:lastRenderedPageBreak/>
        <w:t>It adopts a carbon-focused approach</w:t>
      </w:r>
    </w:p>
    <w:p w14:paraId="4ADABCE6" w14:textId="77777777" w:rsidR="00052B3F" w:rsidRPr="00D06382" w:rsidRDefault="00052B3F" w:rsidP="007D5ACF">
      <w:pPr>
        <w:pStyle w:val="ListParagraph"/>
        <w:numPr>
          <w:ilvl w:val="0"/>
          <w:numId w:val="6"/>
        </w:numPr>
        <w:spacing w:after="0" w:line="240" w:lineRule="auto"/>
        <w:jc w:val="both"/>
        <w:rPr>
          <w:rFonts w:cs="Times New Roman"/>
        </w:rPr>
      </w:pPr>
      <w:r w:rsidRPr="00D06382">
        <w:rPr>
          <w:rFonts w:cs="Times New Roman"/>
        </w:rPr>
        <w:t>Its emphasis is on operational and embodied carbon</w:t>
      </w:r>
    </w:p>
    <w:p w14:paraId="448D98F9" w14:textId="77777777" w:rsidR="00052B3F" w:rsidRPr="00D06382" w:rsidRDefault="00052B3F" w:rsidP="007D5ACF">
      <w:pPr>
        <w:pStyle w:val="ListParagraph"/>
        <w:numPr>
          <w:ilvl w:val="0"/>
          <w:numId w:val="6"/>
        </w:numPr>
        <w:spacing w:after="0" w:line="240" w:lineRule="auto"/>
        <w:jc w:val="both"/>
        <w:rPr>
          <w:rFonts w:cs="Times New Roman"/>
        </w:rPr>
      </w:pPr>
      <w:r w:rsidRPr="00D06382">
        <w:rPr>
          <w:rFonts w:cs="Times New Roman"/>
        </w:rPr>
        <w:t>It provides flexible pathways for new and existing buildings</w:t>
      </w:r>
    </w:p>
    <w:p w14:paraId="073264FF" w14:textId="77777777" w:rsidR="00052B3F" w:rsidRPr="00D06382" w:rsidRDefault="00052B3F" w:rsidP="007D5ACF">
      <w:pPr>
        <w:pStyle w:val="ListParagraph"/>
        <w:numPr>
          <w:ilvl w:val="0"/>
          <w:numId w:val="6"/>
        </w:numPr>
        <w:spacing w:after="0" w:line="240" w:lineRule="auto"/>
        <w:jc w:val="both"/>
        <w:rPr>
          <w:rFonts w:cs="Times New Roman"/>
        </w:rPr>
      </w:pPr>
      <w:r w:rsidRPr="00D06382">
        <w:rPr>
          <w:rFonts w:cs="Times New Roman"/>
        </w:rPr>
        <w:t>It allows integration with other green building standards</w:t>
      </w:r>
    </w:p>
    <w:p w14:paraId="6C930171" w14:textId="77777777" w:rsidR="00BE61A0" w:rsidRDefault="00BE61A0" w:rsidP="00052B3F">
      <w:pPr>
        <w:jc w:val="both"/>
        <w:rPr>
          <w:rFonts w:cs="Times New Roman"/>
        </w:rPr>
      </w:pPr>
    </w:p>
    <w:p w14:paraId="6253CE62" w14:textId="12D410BE" w:rsidR="00052B3F" w:rsidRPr="00D06382" w:rsidRDefault="00052B3F" w:rsidP="00052B3F">
      <w:pPr>
        <w:jc w:val="both"/>
        <w:rPr>
          <w:rFonts w:cs="Times New Roman"/>
          <w:b/>
          <w:bCs/>
        </w:rPr>
      </w:pPr>
      <w:r w:rsidRPr="00D06382">
        <w:rPr>
          <w:rFonts w:cs="Times New Roman"/>
          <w:b/>
          <w:bCs/>
        </w:rPr>
        <w:t>Certification Levels</w:t>
      </w:r>
    </w:p>
    <w:p w14:paraId="513A2DFF" w14:textId="028A64E1" w:rsidR="00052B3F" w:rsidRPr="00D06382" w:rsidRDefault="00052B3F" w:rsidP="00052B3F">
      <w:pPr>
        <w:jc w:val="both"/>
        <w:rPr>
          <w:rFonts w:cs="Times New Roman"/>
        </w:rPr>
      </w:pPr>
      <w:r w:rsidRPr="00D06382">
        <w:rPr>
          <w:rFonts w:cs="Times New Roman"/>
        </w:rPr>
        <w:t>The CAGBC Zero Carbon Building Standard offers two certification options:</w:t>
      </w:r>
    </w:p>
    <w:p w14:paraId="4003673A" w14:textId="77777777" w:rsidR="00052B3F" w:rsidRPr="00D06382" w:rsidRDefault="00052B3F" w:rsidP="007D5ACF">
      <w:pPr>
        <w:pStyle w:val="ListParagraph"/>
        <w:numPr>
          <w:ilvl w:val="0"/>
          <w:numId w:val="7"/>
        </w:numPr>
        <w:spacing w:after="0" w:line="240" w:lineRule="auto"/>
        <w:jc w:val="both"/>
        <w:rPr>
          <w:rFonts w:cs="Times New Roman"/>
        </w:rPr>
      </w:pPr>
      <w:r w:rsidRPr="00D06382">
        <w:rPr>
          <w:rFonts w:cs="Times New Roman"/>
        </w:rPr>
        <w:t>Zero Carbon Building - Design</w:t>
      </w:r>
    </w:p>
    <w:p w14:paraId="5D9C02DF" w14:textId="77777777" w:rsidR="00052B3F" w:rsidRPr="00D06382" w:rsidRDefault="00052B3F" w:rsidP="007D5ACF">
      <w:pPr>
        <w:pStyle w:val="ListParagraph"/>
        <w:numPr>
          <w:ilvl w:val="0"/>
          <w:numId w:val="7"/>
        </w:numPr>
        <w:spacing w:after="0" w:line="240" w:lineRule="auto"/>
        <w:jc w:val="both"/>
        <w:rPr>
          <w:rFonts w:cs="Times New Roman"/>
        </w:rPr>
      </w:pPr>
      <w:r w:rsidRPr="00D06382">
        <w:rPr>
          <w:rFonts w:cs="Times New Roman"/>
        </w:rPr>
        <w:t>Zero Carbon Building - Performance</w:t>
      </w:r>
    </w:p>
    <w:p w14:paraId="452706F1" w14:textId="77777777" w:rsidR="00052B3F" w:rsidRPr="00D06382" w:rsidRDefault="00052B3F" w:rsidP="00052B3F">
      <w:pPr>
        <w:jc w:val="both"/>
        <w:rPr>
          <w:rFonts w:cs="Times New Roman"/>
        </w:rPr>
      </w:pPr>
    </w:p>
    <w:p w14:paraId="57F4443A" w14:textId="1F0D2E88" w:rsidR="00052B3F" w:rsidRPr="00D06382" w:rsidRDefault="00052B3F" w:rsidP="00052B3F">
      <w:pPr>
        <w:jc w:val="both"/>
        <w:rPr>
          <w:rFonts w:cs="Times New Roman"/>
          <w:b/>
          <w:bCs/>
        </w:rPr>
      </w:pPr>
      <w:r w:rsidRPr="00D06382">
        <w:rPr>
          <w:rFonts w:cs="Times New Roman"/>
          <w:b/>
          <w:bCs/>
        </w:rPr>
        <w:t>Energy Efficiency and Net Zero Requirements</w:t>
      </w:r>
    </w:p>
    <w:p w14:paraId="49CEF087" w14:textId="275E8B53" w:rsidR="00052B3F" w:rsidRPr="00D06382" w:rsidRDefault="00052B3F" w:rsidP="00052B3F">
      <w:pPr>
        <w:jc w:val="both"/>
        <w:rPr>
          <w:rFonts w:cs="Times New Roman"/>
        </w:rPr>
      </w:pPr>
      <w:r w:rsidRPr="00D06382">
        <w:rPr>
          <w:rFonts w:cs="Times New Roman"/>
        </w:rPr>
        <w:t>As its name suggests, this standard is explicitly focused on achieving net zero carbon emissions and its key requirements include:</w:t>
      </w:r>
    </w:p>
    <w:p w14:paraId="22EE36B9" w14:textId="77777777" w:rsidR="00052B3F" w:rsidRPr="00D06382" w:rsidRDefault="00052B3F" w:rsidP="007D5ACF">
      <w:pPr>
        <w:pStyle w:val="ListParagraph"/>
        <w:numPr>
          <w:ilvl w:val="0"/>
          <w:numId w:val="8"/>
        </w:numPr>
        <w:spacing w:after="0" w:line="240" w:lineRule="auto"/>
        <w:jc w:val="both"/>
        <w:rPr>
          <w:rFonts w:cs="Times New Roman"/>
        </w:rPr>
      </w:pPr>
      <w:r w:rsidRPr="00D06382">
        <w:rPr>
          <w:rFonts w:cs="Times New Roman"/>
        </w:rPr>
        <w:t>Zero carbon balance: Demonstrated through operational carbon emissions and corresponding offsets.</w:t>
      </w:r>
    </w:p>
    <w:p w14:paraId="27B61C38" w14:textId="77777777" w:rsidR="00052B3F" w:rsidRPr="00D06382" w:rsidRDefault="00052B3F" w:rsidP="007D5ACF">
      <w:pPr>
        <w:pStyle w:val="ListParagraph"/>
        <w:numPr>
          <w:ilvl w:val="0"/>
          <w:numId w:val="8"/>
        </w:numPr>
        <w:spacing w:after="0" w:line="240" w:lineRule="auto"/>
        <w:jc w:val="both"/>
        <w:rPr>
          <w:rFonts w:cs="Times New Roman"/>
        </w:rPr>
      </w:pPr>
      <w:r w:rsidRPr="00D06382">
        <w:rPr>
          <w:rFonts w:cs="Times New Roman"/>
        </w:rPr>
        <w:t>Energy efficiency: Minimum energy performance targets based on building type and climate zone.</w:t>
      </w:r>
    </w:p>
    <w:p w14:paraId="10654EFD" w14:textId="77777777" w:rsidR="00052B3F" w:rsidRPr="00D06382" w:rsidRDefault="00052B3F" w:rsidP="007D5ACF">
      <w:pPr>
        <w:pStyle w:val="ListParagraph"/>
        <w:numPr>
          <w:ilvl w:val="0"/>
          <w:numId w:val="8"/>
        </w:numPr>
        <w:spacing w:after="0" w:line="240" w:lineRule="auto"/>
        <w:jc w:val="both"/>
        <w:rPr>
          <w:rFonts w:cs="Times New Roman"/>
        </w:rPr>
      </w:pPr>
      <w:r w:rsidRPr="00D06382">
        <w:rPr>
          <w:rFonts w:cs="Times New Roman"/>
        </w:rPr>
        <w:t>On-site renewable energy usage: Requirement to evaluate feasibility of on-site renewable energy</w:t>
      </w:r>
    </w:p>
    <w:p w14:paraId="1993EDB2" w14:textId="77777777" w:rsidR="00052B3F" w:rsidRPr="00D06382" w:rsidRDefault="00052B3F" w:rsidP="007D5ACF">
      <w:pPr>
        <w:pStyle w:val="ListParagraph"/>
        <w:numPr>
          <w:ilvl w:val="0"/>
          <w:numId w:val="8"/>
        </w:numPr>
        <w:spacing w:after="0" w:line="240" w:lineRule="auto"/>
        <w:jc w:val="both"/>
        <w:rPr>
          <w:rFonts w:cs="Times New Roman"/>
        </w:rPr>
      </w:pPr>
      <w:r w:rsidRPr="00D06382">
        <w:rPr>
          <w:rFonts w:cs="Times New Roman"/>
        </w:rPr>
        <w:t>Embodied carbon: Advocates for Life-cycle assessment of structural and envelope materials</w:t>
      </w:r>
    </w:p>
    <w:p w14:paraId="5B127877" w14:textId="77777777" w:rsidR="00052B3F" w:rsidRPr="00D06382" w:rsidRDefault="00052B3F" w:rsidP="007D5ACF">
      <w:pPr>
        <w:pStyle w:val="ListParagraph"/>
        <w:numPr>
          <w:ilvl w:val="0"/>
          <w:numId w:val="8"/>
        </w:numPr>
        <w:spacing w:after="0" w:line="240" w:lineRule="auto"/>
        <w:jc w:val="both"/>
        <w:rPr>
          <w:rFonts w:cs="Times New Roman"/>
        </w:rPr>
      </w:pPr>
      <w:r w:rsidRPr="00D06382">
        <w:rPr>
          <w:rFonts w:cs="Times New Roman"/>
        </w:rPr>
        <w:t>Refrigerants: Limits on refrigerant emissions</w:t>
      </w:r>
    </w:p>
    <w:p w14:paraId="6EA44CE9" w14:textId="77777777" w:rsidR="00052B3F" w:rsidRPr="00D06382" w:rsidRDefault="00052B3F" w:rsidP="00052B3F">
      <w:pPr>
        <w:jc w:val="both"/>
        <w:rPr>
          <w:rFonts w:cs="Times New Roman"/>
        </w:rPr>
      </w:pPr>
    </w:p>
    <w:p w14:paraId="30278520" w14:textId="77777777" w:rsidR="00052B3F" w:rsidRPr="00D06382" w:rsidRDefault="00052B3F" w:rsidP="00052B3F">
      <w:pPr>
        <w:jc w:val="both"/>
        <w:rPr>
          <w:rFonts w:cs="Times New Roman"/>
        </w:rPr>
      </w:pPr>
      <w:r w:rsidRPr="00D06382">
        <w:rPr>
          <w:rFonts w:cs="Times New Roman"/>
        </w:rPr>
        <w:t>In summary, the standard requires buildings to achieve a zero-carbon balance annually, offsetting any emissions that cannot be eliminated through efficiency measures or on-site renewables (CAGBC, 2024).</w:t>
      </w:r>
    </w:p>
    <w:p w14:paraId="43FF1EC5" w14:textId="77777777" w:rsidR="00052B3F" w:rsidRPr="00D06382" w:rsidRDefault="00052B3F" w:rsidP="00BE61A0">
      <w:pPr>
        <w:pStyle w:val="Heading3"/>
      </w:pPr>
      <w:bookmarkStart w:id="28" w:name="_Toc202742993"/>
      <w:r w:rsidRPr="00D06382">
        <w:t>Passive House</w:t>
      </w:r>
      <w:bookmarkEnd w:id="28"/>
    </w:p>
    <w:p w14:paraId="5F0D1B1C" w14:textId="7113ABEB" w:rsidR="00052B3F" w:rsidRPr="00D06382" w:rsidRDefault="00052B3F" w:rsidP="00052B3F">
      <w:pPr>
        <w:jc w:val="both"/>
        <w:rPr>
          <w:rFonts w:cs="Times New Roman"/>
        </w:rPr>
      </w:pPr>
      <w:r w:rsidRPr="00D06382">
        <w:rPr>
          <w:rFonts w:cs="Times New Roman"/>
        </w:rPr>
        <w:t xml:space="preserve">Passive House, originating in Germany as </w:t>
      </w:r>
      <w:r w:rsidRPr="00D06382">
        <w:rPr>
          <w:rFonts w:cs="Times New Roman"/>
          <w:i/>
          <w:iCs/>
        </w:rPr>
        <w:t>Passivhaus</w:t>
      </w:r>
      <w:r w:rsidRPr="00D06382">
        <w:rPr>
          <w:rFonts w:cs="Times New Roman"/>
        </w:rPr>
        <w:t>, is a rigorous standard focused on creating ultra-low energy buildings that require minimal space heating or cooling (Passive House Institute, 2024).</w:t>
      </w:r>
    </w:p>
    <w:p w14:paraId="6FB7E04A" w14:textId="1AB73C20" w:rsidR="00052B3F" w:rsidRPr="00D06382" w:rsidRDefault="00052B3F" w:rsidP="00052B3F">
      <w:pPr>
        <w:jc w:val="both"/>
        <w:rPr>
          <w:rFonts w:cs="Times New Roman"/>
        </w:rPr>
      </w:pPr>
      <w:r w:rsidRPr="00D06382">
        <w:rPr>
          <w:rFonts w:cs="Times New Roman"/>
        </w:rPr>
        <w:t>The main features of this standard include a/an:</w:t>
      </w:r>
    </w:p>
    <w:p w14:paraId="7C2459B6" w14:textId="77777777" w:rsidR="00052B3F" w:rsidRPr="00D06382" w:rsidRDefault="00052B3F" w:rsidP="007D5ACF">
      <w:pPr>
        <w:pStyle w:val="ListParagraph"/>
        <w:numPr>
          <w:ilvl w:val="0"/>
          <w:numId w:val="9"/>
        </w:numPr>
        <w:spacing w:after="0" w:line="240" w:lineRule="auto"/>
        <w:jc w:val="both"/>
        <w:rPr>
          <w:rFonts w:cs="Times New Roman"/>
        </w:rPr>
      </w:pPr>
      <w:r w:rsidRPr="00D06382">
        <w:rPr>
          <w:rFonts w:cs="Times New Roman"/>
        </w:rPr>
        <w:t>Emphasis on passive design strategies and high-performance building envelope</w:t>
      </w:r>
    </w:p>
    <w:p w14:paraId="19928B70" w14:textId="77777777" w:rsidR="00052B3F" w:rsidRPr="00D06382" w:rsidRDefault="00052B3F" w:rsidP="007D5ACF">
      <w:pPr>
        <w:pStyle w:val="ListParagraph"/>
        <w:numPr>
          <w:ilvl w:val="0"/>
          <w:numId w:val="9"/>
        </w:numPr>
        <w:spacing w:after="0" w:line="240" w:lineRule="auto"/>
        <w:jc w:val="both"/>
        <w:rPr>
          <w:rFonts w:cs="Times New Roman"/>
        </w:rPr>
      </w:pPr>
      <w:r w:rsidRPr="00D06382">
        <w:rPr>
          <w:rFonts w:cs="Times New Roman"/>
        </w:rPr>
        <w:t>Stringent energy consumption limits</w:t>
      </w:r>
    </w:p>
    <w:p w14:paraId="25FC05F4" w14:textId="77777777" w:rsidR="00052B3F" w:rsidRPr="00D06382" w:rsidRDefault="00052B3F" w:rsidP="007D5ACF">
      <w:pPr>
        <w:pStyle w:val="ListParagraph"/>
        <w:numPr>
          <w:ilvl w:val="0"/>
          <w:numId w:val="9"/>
        </w:numPr>
        <w:spacing w:after="0" w:line="240" w:lineRule="auto"/>
        <w:jc w:val="both"/>
        <w:rPr>
          <w:rFonts w:cs="Times New Roman"/>
        </w:rPr>
      </w:pPr>
      <w:r w:rsidRPr="00D06382">
        <w:rPr>
          <w:rFonts w:cs="Times New Roman"/>
        </w:rPr>
        <w:t>Focus on thermal comfort and indoor air quality</w:t>
      </w:r>
    </w:p>
    <w:p w14:paraId="507D394E" w14:textId="77777777" w:rsidR="00052B3F" w:rsidRPr="00D06382" w:rsidRDefault="00052B3F" w:rsidP="007D5ACF">
      <w:pPr>
        <w:pStyle w:val="ListParagraph"/>
        <w:numPr>
          <w:ilvl w:val="0"/>
          <w:numId w:val="9"/>
        </w:numPr>
        <w:spacing w:after="0" w:line="240" w:lineRule="auto"/>
        <w:jc w:val="both"/>
        <w:rPr>
          <w:rFonts w:cs="Times New Roman"/>
        </w:rPr>
      </w:pPr>
      <w:r w:rsidRPr="00D06382">
        <w:rPr>
          <w:rFonts w:cs="Times New Roman"/>
        </w:rPr>
        <w:t>Applicability to various building types and climates</w:t>
      </w:r>
    </w:p>
    <w:p w14:paraId="6F0C531A" w14:textId="77777777" w:rsidR="00052B3F" w:rsidRPr="00D06382" w:rsidRDefault="00052B3F" w:rsidP="00052B3F">
      <w:pPr>
        <w:jc w:val="both"/>
        <w:rPr>
          <w:rFonts w:cs="Times New Roman"/>
        </w:rPr>
      </w:pPr>
    </w:p>
    <w:p w14:paraId="29D36720" w14:textId="124CC9A2" w:rsidR="00052B3F" w:rsidRPr="00D06382" w:rsidRDefault="00052B3F" w:rsidP="00052B3F">
      <w:pPr>
        <w:jc w:val="both"/>
        <w:rPr>
          <w:rFonts w:cs="Times New Roman"/>
          <w:b/>
          <w:bCs/>
        </w:rPr>
      </w:pPr>
      <w:r w:rsidRPr="00D06382">
        <w:rPr>
          <w:rFonts w:cs="Times New Roman"/>
          <w:b/>
          <w:bCs/>
        </w:rPr>
        <w:t>Certification Levels</w:t>
      </w:r>
    </w:p>
    <w:p w14:paraId="4DFEC597" w14:textId="26E000AE" w:rsidR="00052B3F" w:rsidRPr="00D06382" w:rsidRDefault="00052B3F" w:rsidP="00052B3F">
      <w:pPr>
        <w:jc w:val="both"/>
        <w:rPr>
          <w:rFonts w:cs="Times New Roman"/>
        </w:rPr>
      </w:pPr>
      <w:r w:rsidRPr="00D06382">
        <w:rPr>
          <w:rFonts w:cs="Times New Roman"/>
        </w:rPr>
        <w:t>Passive House offers three certification levels:</w:t>
      </w:r>
    </w:p>
    <w:p w14:paraId="41EF02C7" w14:textId="77777777" w:rsidR="00052B3F" w:rsidRPr="00D06382" w:rsidRDefault="00052B3F" w:rsidP="007D5ACF">
      <w:pPr>
        <w:pStyle w:val="ListParagraph"/>
        <w:numPr>
          <w:ilvl w:val="0"/>
          <w:numId w:val="10"/>
        </w:numPr>
        <w:spacing w:after="0" w:line="240" w:lineRule="auto"/>
        <w:jc w:val="both"/>
        <w:rPr>
          <w:rFonts w:cs="Times New Roman"/>
        </w:rPr>
      </w:pPr>
      <w:r w:rsidRPr="00D06382">
        <w:rPr>
          <w:rFonts w:cs="Times New Roman"/>
        </w:rPr>
        <w:t>Passive House Classic</w:t>
      </w:r>
    </w:p>
    <w:p w14:paraId="094A6CBB" w14:textId="77777777" w:rsidR="00052B3F" w:rsidRPr="00D06382" w:rsidRDefault="00052B3F" w:rsidP="007D5ACF">
      <w:pPr>
        <w:pStyle w:val="ListParagraph"/>
        <w:numPr>
          <w:ilvl w:val="0"/>
          <w:numId w:val="10"/>
        </w:numPr>
        <w:spacing w:after="0" w:line="240" w:lineRule="auto"/>
        <w:jc w:val="both"/>
        <w:rPr>
          <w:rFonts w:cs="Times New Roman"/>
        </w:rPr>
      </w:pPr>
      <w:r w:rsidRPr="00D06382">
        <w:rPr>
          <w:rFonts w:cs="Times New Roman"/>
        </w:rPr>
        <w:t>Passive House Plus (includes renewable energy generation)</w:t>
      </w:r>
    </w:p>
    <w:p w14:paraId="0739ECA6" w14:textId="77777777" w:rsidR="00052B3F" w:rsidRPr="00D06382" w:rsidRDefault="00052B3F" w:rsidP="007D5ACF">
      <w:pPr>
        <w:pStyle w:val="ListParagraph"/>
        <w:numPr>
          <w:ilvl w:val="0"/>
          <w:numId w:val="10"/>
        </w:numPr>
        <w:spacing w:after="0" w:line="240" w:lineRule="auto"/>
        <w:jc w:val="both"/>
        <w:rPr>
          <w:rFonts w:cs="Times New Roman"/>
        </w:rPr>
      </w:pPr>
      <w:r w:rsidRPr="00D06382">
        <w:rPr>
          <w:rFonts w:cs="Times New Roman"/>
        </w:rPr>
        <w:t>Passive House Premium (higher renewable energy generation requirements)</w:t>
      </w:r>
    </w:p>
    <w:p w14:paraId="54383DF2" w14:textId="77777777" w:rsidR="00052B3F" w:rsidRPr="00D06382" w:rsidRDefault="00052B3F" w:rsidP="00052B3F">
      <w:pPr>
        <w:jc w:val="both"/>
        <w:rPr>
          <w:rFonts w:cs="Times New Roman"/>
        </w:rPr>
      </w:pPr>
    </w:p>
    <w:p w14:paraId="71B366ED" w14:textId="7A86DFDC" w:rsidR="00052B3F" w:rsidRPr="00D06382" w:rsidRDefault="00052B3F" w:rsidP="00052B3F">
      <w:pPr>
        <w:jc w:val="both"/>
        <w:rPr>
          <w:rFonts w:cs="Times New Roman"/>
          <w:b/>
          <w:bCs/>
        </w:rPr>
      </w:pPr>
      <w:r w:rsidRPr="00D06382">
        <w:rPr>
          <w:rFonts w:cs="Times New Roman"/>
          <w:b/>
          <w:bCs/>
        </w:rPr>
        <w:t>Energy Efficiency and Net Zero Requirements</w:t>
      </w:r>
    </w:p>
    <w:p w14:paraId="7DDEAF4E" w14:textId="2346F428" w:rsidR="00052B3F" w:rsidRPr="00D06382" w:rsidRDefault="00052B3F" w:rsidP="00052B3F">
      <w:pPr>
        <w:jc w:val="both"/>
        <w:rPr>
          <w:rFonts w:cs="Times New Roman"/>
        </w:rPr>
      </w:pPr>
      <w:r w:rsidRPr="00D06382">
        <w:rPr>
          <w:rFonts w:cs="Times New Roman"/>
        </w:rPr>
        <w:t>The Passive House standard sets very specific and stringent energy performance targets:</w:t>
      </w:r>
    </w:p>
    <w:p w14:paraId="62F83D2B" w14:textId="77777777" w:rsidR="00052B3F" w:rsidRPr="00D06382" w:rsidRDefault="00052B3F" w:rsidP="007D5ACF">
      <w:pPr>
        <w:pStyle w:val="ListParagraph"/>
        <w:numPr>
          <w:ilvl w:val="0"/>
          <w:numId w:val="11"/>
        </w:numPr>
        <w:spacing w:after="0" w:line="240" w:lineRule="auto"/>
        <w:jc w:val="both"/>
        <w:rPr>
          <w:rFonts w:cs="Times New Roman"/>
        </w:rPr>
      </w:pPr>
      <w:r w:rsidRPr="00D06382">
        <w:rPr>
          <w:rFonts w:cs="Times New Roman"/>
        </w:rPr>
        <w:t>Heating and cooling demand: ≤ 15 kWh/m²/year each</w:t>
      </w:r>
    </w:p>
    <w:p w14:paraId="684F81F2" w14:textId="77777777" w:rsidR="00052B3F" w:rsidRPr="00D06382" w:rsidRDefault="00052B3F" w:rsidP="007D5ACF">
      <w:pPr>
        <w:pStyle w:val="ListParagraph"/>
        <w:numPr>
          <w:ilvl w:val="0"/>
          <w:numId w:val="11"/>
        </w:numPr>
        <w:spacing w:after="0" w:line="240" w:lineRule="auto"/>
        <w:jc w:val="both"/>
        <w:rPr>
          <w:rFonts w:cs="Times New Roman"/>
        </w:rPr>
      </w:pPr>
      <w:r w:rsidRPr="00D06382">
        <w:rPr>
          <w:rFonts w:cs="Times New Roman"/>
        </w:rPr>
        <w:t>Primary energy demand: ≤ 120 kWh/m²/year (including all energy uses)</w:t>
      </w:r>
    </w:p>
    <w:p w14:paraId="4D390D43" w14:textId="77777777" w:rsidR="00052B3F" w:rsidRPr="00D06382" w:rsidRDefault="00052B3F" w:rsidP="007D5ACF">
      <w:pPr>
        <w:pStyle w:val="ListParagraph"/>
        <w:numPr>
          <w:ilvl w:val="0"/>
          <w:numId w:val="11"/>
        </w:numPr>
        <w:spacing w:after="0" w:line="240" w:lineRule="auto"/>
        <w:jc w:val="both"/>
        <w:rPr>
          <w:rFonts w:cs="Times New Roman"/>
        </w:rPr>
      </w:pPr>
      <w:r w:rsidRPr="00D06382">
        <w:rPr>
          <w:rFonts w:cs="Times New Roman"/>
        </w:rPr>
        <w:t>Airtightness: ≤ 0.6 air changes per hour at 50 Pascals pressure</w:t>
      </w:r>
    </w:p>
    <w:p w14:paraId="20BE8FD8" w14:textId="77777777" w:rsidR="00052B3F" w:rsidRPr="00D06382" w:rsidRDefault="00052B3F" w:rsidP="007D5ACF">
      <w:pPr>
        <w:pStyle w:val="ListParagraph"/>
        <w:numPr>
          <w:ilvl w:val="0"/>
          <w:numId w:val="11"/>
        </w:numPr>
        <w:spacing w:after="0" w:line="240" w:lineRule="auto"/>
        <w:jc w:val="both"/>
        <w:rPr>
          <w:rFonts w:cs="Times New Roman"/>
        </w:rPr>
      </w:pPr>
      <w:r w:rsidRPr="00D06382">
        <w:rPr>
          <w:rFonts w:cs="Times New Roman"/>
        </w:rPr>
        <w:t>Thermal comfort: Not exceeding 25°C for more than 10% of hours in a year</w:t>
      </w:r>
    </w:p>
    <w:p w14:paraId="49A11667" w14:textId="77777777" w:rsidR="00052B3F" w:rsidRPr="00D06382" w:rsidRDefault="00052B3F" w:rsidP="00052B3F">
      <w:pPr>
        <w:jc w:val="both"/>
        <w:rPr>
          <w:rFonts w:cs="Times New Roman"/>
        </w:rPr>
      </w:pPr>
    </w:p>
    <w:p w14:paraId="43E54B74" w14:textId="77777777" w:rsidR="00052B3F" w:rsidRPr="00D06382" w:rsidRDefault="00052B3F" w:rsidP="00052B3F">
      <w:pPr>
        <w:jc w:val="both"/>
        <w:rPr>
          <w:rFonts w:cs="Times New Roman"/>
        </w:rPr>
      </w:pPr>
      <w:r w:rsidRPr="00D06382">
        <w:rPr>
          <w:rFonts w:cs="Times New Roman"/>
        </w:rPr>
        <w:t>Similarly, while Passive House Classic does not explicitly require net zero energy performance, the Plus and Premium levels incorporate renewable energy generation, with strong leanings towards net zero or net positive energy buildings (Passive House Institute, 2024).</w:t>
      </w:r>
    </w:p>
    <w:p w14:paraId="4E8C7968" w14:textId="77777777" w:rsidR="00052B3F" w:rsidRPr="00D06382" w:rsidRDefault="00052B3F" w:rsidP="00052B3F">
      <w:pPr>
        <w:jc w:val="both"/>
        <w:rPr>
          <w:rFonts w:cs="Times New Roman"/>
        </w:rPr>
      </w:pPr>
    </w:p>
    <w:p w14:paraId="7E1A6391" w14:textId="77777777" w:rsidR="00052B3F" w:rsidRPr="00D06382" w:rsidRDefault="00052B3F" w:rsidP="00BE61A0">
      <w:pPr>
        <w:pStyle w:val="Heading3"/>
      </w:pPr>
      <w:bookmarkStart w:id="29" w:name="_Toc202742994"/>
      <w:r w:rsidRPr="00D06382">
        <w:t>BOMA BEST (Building Owners and Managers Association Building Environmental Standards)</w:t>
      </w:r>
      <w:bookmarkEnd w:id="29"/>
    </w:p>
    <w:p w14:paraId="7A9E263E" w14:textId="12E625DA" w:rsidR="00052B3F" w:rsidRPr="00D06382" w:rsidRDefault="00052B3F" w:rsidP="00052B3F">
      <w:pPr>
        <w:jc w:val="both"/>
        <w:rPr>
          <w:rFonts w:cs="Times New Roman"/>
        </w:rPr>
      </w:pPr>
      <w:r w:rsidRPr="00D06382">
        <w:rPr>
          <w:rFonts w:cs="Times New Roman"/>
        </w:rPr>
        <w:t>BOMA BEST, developed by the Building Owners and Managers Association of Canada, is a national green building certification program specifically designed for existing buildings (BOMA Canada, 2024).</w:t>
      </w:r>
    </w:p>
    <w:p w14:paraId="20F0A67E" w14:textId="0E8156A8" w:rsidR="00052B3F" w:rsidRPr="00D06382" w:rsidRDefault="00052B3F" w:rsidP="00052B3F">
      <w:pPr>
        <w:jc w:val="both"/>
        <w:rPr>
          <w:rFonts w:cs="Times New Roman"/>
        </w:rPr>
      </w:pPr>
      <w:r w:rsidRPr="00D06382">
        <w:rPr>
          <w:rFonts w:cs="Times New Roman"/>
        </w:rPr>
        <w:t>The main features of this standard are:</w:t>
      </w:r>
    </w:p>
    <w:p w14:paraId="4B2FF741" w14:textId="77777777" w:rsidR="00052B3F" w:rsidRPr="00D06382" w:rsidRDefault="00052B3F" w:rsidP="007D5ACF">
      <w:pPr>
        <w:pStyle w:val="ListParagraph"/>
        <w:numPr>
          <w:ilvl w:val="0"/>
          <w:numId w:val="12"/>
        </w:numPr>
        <w:spacing w:after="0" w:line="240" w:lineRule="auto"/>
        <w:jc w:val="both"/>
        <w:rPr>
          <w:rFonts w:cs="Times New Roman"/>
        </w:rPr>
      </w:pPr>
      <w:r w:rsidRPr="00D06382">
        <w:rPr>
          <w:rFonts w:cs="Times New Roman"/>
        </w:rPr>
        <w:t>An explicit focus on existing buildings and ongoing operations</w:t>
      </w:r>
    </w:p>
    <w:p w14:paraId="0A2D5D65" w14:textId="77777777" w:rsidR="00052B3F" w:rsidRPr="00D06382" w:rsidRDefault="00052B3F" w:rsidP="007D5ACF">
      <w:pPr>
        <w:pStyle w:val="ListParagraph"/>
        <w:numPr>
          <w:ilvl w:val="0"/>
          <w:numId w:val="12"/>
        </w:numPr>
        <w:spacing w:after="0" w:line="240" w:lineRule="auto"/>
        <w:jc w:val="both"/>
        <w:rPr>
          <w:rFonts w:cs="Times New Roman"/>
        </w:rPr>
      </w:pPr>
      <w:r w:rsidRPr="00D06382">
        <w:rPr>
          <w:rFonts w:cs="Times New Roman"/>
        </w:rPr>
        <w:t>A comprehensive assessment covering energy, water, waste, and indoor environment, to mention a few.</w:t>
      </w:r>
    </w:p>
    <w:p w14:paraId="0964AAEF" w14:textId="77777777" w:rsidR="00052B3F" w:rsidRPr="00D06382" w:rsidRDefault="00052B3F" w:rsidP="007D5ACF">
      <w:pPr>
        <w:pStyle w:val="ListParagraph"/>
        <w:numPr>
          <w:ilvl w:val="0"/>
          <w:numId w:val="12"/>
        </w:numPr>
        <w:spacing w:after="0" w:line="240" w:lineRule="auto"/>
        <w:jc w:val="both"/>
        <w:rPr>
          <w:rFonts w:cs="Times New Roman"/>
        </w:rPr>
      </w:pPr>
      <w:r w:rsidRPr="00D06382">
        <w:rPr>
          <w:rFonts w:cs="Times New Roman"/>
        </w:rPr>
        <w:t>A strong emphasis on continuous improvement</w:t>
      </w:r>
    </w:p>
    <w:p w14:paraId="389C3578" w14:textId="48D60B75" w:rsidR="00052B3F" w:rsidRDefault="00052B3F" w:rsidP="00052B3F">
      <w:pPr>
        <w:pStyle w:val="ListParagraph"/>
        <w:numPr>
          <w:ilvl w:val="0"/>
          <w:numId w:val="12"/>
        </w:numPr>
        <w:spacing w:after="0" w:line="240" w:lineRule="auto"/>
        <w:jc w:val="both"/>
        <w:rPr>
          <w:rFonts w:cs="Times New Roman"/>
        </w:rPr>
      </w:pPr>
      <w:r w:rsidRPr="00D06382">
        <w:rPr>
          <w:rFonts w:cs="Times New Roman"/>
        </w:rPr>
        <w:t>Industry-specific questionnaires for different building types</w:t>
      </w:r>
    </w:p>
    <w:p w14:paraId="6538E37B" w14:textId="77777777" w:rsidR="00BE61A0" w:rsidRPr="00BE61A0" w:rsidRDefault="00BE61A0" w:rsidP="00BE61A0">
      <w:pPr>
        <w:pStyle w:val="ListParagraph"/>
        <w:spacing w:after="0" w:line="240" w:lineRule="auto"/>
        <w:jc w:val="both"/>
        <w:rPr>
          <w:rFonts w:cs="Times New Roman"/>
        </w:rPr>
      </w:pPr>
    </w:p>
    <w:p w14:paraId="5B0E627A" w14:textId="7FDA4BD4" w:rsidR="00052B3F" w:rsidRPr="00D06382" w:rsidRDefault="00052B3F" w:rsidP="00052B3F">
      <w:pPr>
        <w:jc w:val="both"/>
        <w:rPr>
          <w:rFonts w:cs="Times New Roman"/>
          <w:b/>
          <w:bCs/>
        </w:rPr>
      </w:pPr>
      <w:r w:rsidRPr="00D06382">
        <w:rPr>
          <w:rFonts w:cs="Times New Roman"/>
          <w:b/>
          <w:bCs/>
        </w:rPr>
        <w:t>Certification Levels</w:t>
      </w:r>
    </w:p>
    <w:p w14:paraId="4FA2FC19" w14:textId="6098BCF3" w:rsidR="00052B3F" w:rsidRPr="00D06382" w:rsidRDefault="00052B3F" w:rsidP="00052B3F">
      <w:pPr>
        <w:jc w:val="both"/>
        <w:rPr>
          <w:rFonts w:cs="Times New Roman"/>
        </w:rPr>
      </w:pPr>
      <w:r w:rsidRPr="00D06382">
        <w:rPr>
          <w:rFonts w:cs="Times New Roman"/>
        </w:rPr>
        <w:t xml:space="preserve">BOMA BEST offers five certification levels under the </w:t>
      </w:r>
      <w:r w:rsidR="00027B17">
        <w:rPr>
          <w:rFonts w:cs="Times New Roman"/>
        </w:rPr>
        <w:t>‘</w:t>
      </w:r>
      <w:r w:rsidRPr="00D06382">
        <w:rPr>
          <w:rFonts w:cs="Times New Roman"/>
        </w:rPr>
        <w:t>Smart</w:t>
      </w:r>
      <w:r w:rsidR="00027B17">
        <w:rPr>
          <w:rFonts w:cs="Times New Roman"/>
        </w:rPr>
        <w:t>’</w:t>
      </w:r>
      <w:r w:rsidRPr="00D06382">
        <w:rPr>
          <w:rFonts w:cs="Times New Roman"/>
        </w:rPr>
        <w:t xml:space="preserve"> and </w:t>
      </w:r>
      <w:r w:rsidR="00027B17">
        <w:rPr>
          <w:rFonts w:cs="Times New Roman"/>
        </w:rPr>
        <w:t>‘</w:t>
      </w:r>
      <w:r w:rsidRPr="00D06382">
        <w:rPr>
          <w:rFonts w:cs="Times New Roman"/>
        </w:rPr>
        <w:t>Sustainable</w:t>
      </w:r>
      <w:r w:rsidR="00027B17">
        <w:rPr>
          <w:rFonts w:cs="Times New Roman"/>
        </w:rPr>
        <w:t>’</w:t>
      </w:r>
      <w:r w:rsidRPr="00D06382">
        <w:rPr>
          <w:rFonts w:cs="Times New Roman"/>
        </w:rPr>
        <w:t xml:space="preserve"> categories:</w:t>
      </w:r>
    </w:p>
    <w:p w14:paraId="3AAE3C99" w14:textId="77777777" w:rsidR="00052B3F" w:rsidRPr="00D06382" w:rsidRDefault="00052B3F" w:rsidP="007D5ACF">
      <w:pPr>
        <w:pStyle w:val="ListParagraph"/>
        <w:numPr>
          <w:ilvl w:val="0"/>
          <w:numId w:val="13"/>
        </w:numPr>
        <w:spacing w:after="0" w:line="240" w:lineRule="auto"/>
        <w:jc w:val="both"/>
        <w:rPr>
          <w:rFonts w:cs="Times New Roman"/>
        </w:rPr>
      </w:pPr>
      <w:r w:rsidRPr="00D06382">
        <w:rPr>
          <w:rFonts w:cs="Times New Roman"/>
        </w:rPr>
        <w:t>Certified (achieving all BEST Practices)</w:t>
      </w:r>
    </w:p>
    <w:p w14:paraId="49579A8A" w14:textId="77777777" w:rsidR="00052B3F" w:rsidRPr="00D06382" w:rsidRDefault="00052B3F" w:rsidP="007D5ACF">
      <w:pPr>
        <w:pStyle w:val="ListParagraph"/>
        <w:numPr>
          <w:ilvl w:val="0"/>
          <w:numId w:val="13"/>
        </w:numPr>
        <w:spacing w:after="0" w:line="240" w:lineRule="auto"/>
        <w:jc w:val="both"/>
        <w:rPr>
          <w:rFonts w:cs="Times New Roman"/>
        </w:rPr>
      </w:pPr>
      <w:r w:rsidRPr="00D06382">
        <w:rPr>
          <w:rFonts w:cs="Times New Roman"/>
        </w:rPr>
        <w:lastRenderedPageBreak/>
        <w:t>Bronze (70-79% score)</w:t>
      </w:r>
    </w:p>
    <w:p w14:paraId="40D07B9F" w14:textId="77777777" w:rsidR="00052B3F" w:rsidRPr="00D06382" w:rsidRDefault="00052B3F" w:rsidP="007D5ACF">
      <w:pPr>
        <w:pStyle w:val="ListParagraph"/>
        <w:numPr>
          <w:ilvl w:val="0"/>
          <w:numId w:val="13"/>
        </w:numPr>
        <w:spacing w:after="0" w:line="240" w:lineRule="auto"/>
        <w:jc w:val="both"/>
        <w:rPr>
          <w:rFonts w:cs="Times New Roman"/>
        </w:rPr>
      </w:pPr>
      <w:r w:rsidRPr="00D06382">
        <w:rPr>
          <w:rFonts w:cs="Times New Roman"/>
        </w:rPr>
        <w:t>Silver (80-89% score)</w:t>
      </w:r>
    </w:p>
    <w:p w14:paraId="19235449" w14:textId="77777777" w:rsidR="00052B3F" w:rsidRPr="00D06382" w:rsidRDefault="00052B3F" w:rsidP="007D5ACF">
      <w:pPr>
        <w:pStyle w:val="ListParagraph"/>
        <w:numPr>
          <w:ilvl w:val="0"/>
          <w:numId w:val="13"/>
        </w:numPr>
        <w:spacing w:after="0" w:line="240" w:lineRule="auto"/>
        <w:jc w:val="both"/>
        <w:rPr>
          <w:rFonts w:cs="Times New Roman"/>
        </w:rPr>
      </w:pPr>
      <w:r w:rsidRPr="00D06382">
        <w:rPr>
          <w:rFonts w:cs="Times New Roman"/>
        </w:rPr>
        <w:t>Gold (90-94% score)</w:t>
      </w:r>
    </w:p>
    <w:p w14:paraId="765409EC" w14:textId="18F9B1CE" w:rsidR="00052B3F" w:rsidRDefault="00052B3F" w:rsidP="00052B3F">
      <w:pPr>
        <w:pStyle w:val="ListParagraph"/>
        <w:numPr>
          <w:ilvl w:val="0"/>
          <w:numId w:val="13"/>
        </w:numPr>
        <w:spacing w:after="0" w:line="240" w:lineRule="auto"/>
        <w:jc w:val="both"/>
        <w:rPr>
          <w:rFonts w:cs="Times New Roman"/>
        </w:rPr>
      </w:pPr>
      <w:r w:rsidRPr="00D06382">
        <w:rPr>
          <w:rFonts w:cs="Times New Roman"/>
        </w:rPr>
        <w:t>Platinum (95%+ score)</w:t>
      </w:r>
    </w:p>
    <w:p w14:paraId="73F8B5BE" w14:textId="77777777" w:rsidR="00BE61A0" w:rsidRPr="00BE61A0" w:rsidRDefault="00BE61A0" w:rsidP="00BE61A0">
      <w:pPr>
        <w:pStyle w:val="ListParagraph"/>
        <w:spacing w:after="0" w:line="240" w:lineRule="auto"/>
        <w:jc w:val="both"/>
        <w:rPr>
          <w:rFonts w:cs="Times New Roman"/>
        </w:rPr>
      </w:pPr>
    </w:p>
    <w:p w14:paraId="50FD3C48" w14:textId="5D47A0E8" w:rsidR="00052B3F" w:rsidRPr="00D06382" w:rsidRDefault="00052B3F" w:rsidP="00052B3F">
      <w:pPr>
        <w:jc w:val="both"/>
        <w:rPr>
          <w:rFonts w:cs="Times New Roman"/>
          <w:b/>
          <w:bCs/>
        </w:rPr>
      </w:pPr>
      <w:r w:rsidRPr="00D06382">
        <w:rPr>
          <w:rFonts w:cs="Times New Roman"/>
          <w:b/>
          <w:bCs/>
        </w:rPr>
        <w:t>Energy Efficiency and Net Zero Requirements</w:t>
      </w:r>
    </w:p>
    <w:p w14:paraId="4665EC70" w14:textId="1FF4D44D" w:rsidR="00052B3F" w:rsidRPr="00D06382" w:rsidRDefault="00052B3F" w:rsidP="00052B3F">
      <w:pPr>
        <w:jc w:val="both"/>
        <w:rPr>
          <w:rFonts w:cs="Times New Roman"/>
        </w:rPr>
      </w:pPr>
      <w:r w:rsidRPr="00D06382">
        <w:rPr>
          <w:rFonts w:cs="Times New Roman"/>
        </w:rPr>
        <w:t>While BOMA BEST covers a range of environmental aspects, energy efficiency is a significant component:</w:t>
      </w:r>
    </w:p>
    <w:p w14:paraId="4F2C5084" w14:textId="77777777" w:rsidR="00052B3F" w:rsidRPr="00D06382" w:rsidRDefault="00052B3F" w:rsidP="007D5ACF">
      <w:pPr>
        <w:pStyle w:val="ListParagraph"/>
        <w:numPr>
          <w:ilvl w:val="0"/>
          <w:numId w:val="14"/>
        </w:numPr>
        <w:spacing w:after="0" w:line="240" w:lineRule="auto"/>
        <w:jc w:val="both"/>
        <w:rPr>
          <w:rFonts w:cs="Times New Roman"/>
        </w:rPr>
      </w:pPr>
      <w:r w:rsidRPr="00D06382">
        <w:rPr>
          <w:rFonts w:cs="Times New Roman"/>
        </w:rPr>
        <w:t>Energy assessment and management plan</w:t>
      </w:r>
    </w:p>
    <w:p w14:paraId="7219AAE5" w14:textId="77777777" w:rsidR="00052B3F" w:rsidRPr="00D06382" w:rsidRDefault="00052B3F" w:rsidP="007D5ACF">
      <w:pPr>
        <w:pStyle w:val="ListParagraph"/>
        <w:numPr>
          <w:ilvl w:val="0"/>
          <w:numId w:val="14"/>
        </w:numPr>
        <w:spacing w:after="0" w:line="240" w:lineRule="auto"/>
        <w:jc w:val="both"/>
        <w:rPr>
          <w:rFonts w:cs="Times New Roman"/>
        </w:rPr>
      </w:pPr>
      <w:r w:rsidRPr="00D06382">
        <w:rPr>
          <w:rFonts w:cs="Times New Roman"/>
        </w:rPr>
        <w:t>Energy consumption tracking and benchmarking</w:t>
      </w:r>
    </w:p>
    <w:p w14:paraId="5DBE1650" w14:textId="77777777" w:rsidR="00052B3F" w:rsidRPr="00D06382" w:rsidRDefault="00052B3F" w:rsidP="007D5ACF">
      <w:pPr>
        <w:pStyle w:val="ListParagraph"/>
        <w:numPr>
          <w:ilvl w:val="0"/>
          <w:numId w:val="14"/>
        </w:numPr>
        <w:spacing w:after="0" w:line="240" w:lineRule="auto"/>
        <w:jc w:val="both"/>
        <w:rPr>
          <w:rFonts w:cs="Times New Roman"/>
        </w:rPr>
      </w:pPr>
      <w:r w:rsidRPr="00D06382">
        <w:rPr>
          <w:rFonts w:cs="Times New Roman"/>
        </w:rPr>
        <w:t>Energy-efficient equipment and systems</w:t>
      </w:r>
    </w:p>
    <w:p w14:paraId="606AF678" w14:textId="77777777" w:rsidR="00052B3F" w:rsidRPr="00D06382" w:rsidRDefault="00052B3F" w:rsidP="007D5ACF">
      <w:pPr>
        <w:pStyle w:val="ListParagraph"/>
        <w:numPr>
          <w:ilvl w:val="0"/>
          <w:numId w:val="14"/>
        </w:numPr>
        <w:spacing w:after="0" w:line="240" w:lineRule="auto"/>
        <w:jc w:val="both"/>
        <w:rPr>
          <w:rFonts w:cs="Times New Roman"/>
        </w:rPr>
      </w:pPr>
      <w:r w:rsidRPr="00D06382">
        <w:rPr>
          <w:rFonts w:cs="Times New Roman"/>
        </w:rPr>
        <w:t>Occupant engagement in energy conservation</w:t>
      </w:r>
    </w:p>
    <w:p w14:paraId="027E39A8" w14:textId="77777777" w:rsidR="00052B3F" w:rsidRPr="00D06382" w:rsidRDefault="00052B3F" w:rsidP="00052B3F">
      <w:pPr>
        <w:jc w:val="both"/>
        <w:rPr>
          <w:rFonts w:cs="Times New Roman"/>
        </w:rPr>
      </w:pPr>
    </w:p>
    <w:p w14:paraId="428936F4" w14:textId="0A33BF60" w:rsidR="00052B3F" w:rsidRPr="00D06382" w:rsidRDefault="00052B3F" w:rsidP="00052B3F">
      <w:pPr>
        <w:jc w:val="both"/>
        <w:rPr>
          <w:rFonts w:cs="Times New Roman"/>
        </w:rPr>
      </w:pPr>
      <w:r w:rsidRPr="00D06382">
        <w:rPr>
          <w:rFonts w:cs="Times New Roman"/>
        </w:rPr>
        <w:t>BOMA BEST does not set specific energy performance targets or require net zero performance. However, it encourages continuous improvement in energy efficiency and provides a framework for buildings to work towards lower energy consumption and emissions (BOMA Canada, 2024).</w:t>
      </w:r>
    </w:p>
    <w:p w14:paraId="250E0C9A" w14:textId="77777777" w:rsidR="00052B3F" w:rsidRPr="00BE61A0" w:rsidRDefault="00052B3F" w:rsidP="00BE61A0">
      <w:pPr>
        <w:pStyle w:val="Heading1"/>
      </w:pPr>
      <w:bookmarkStart w:id="30" w:name="_Toc202742995"/>
      <w:r w:rsidRPr="00BE61A0">
        <w:t>Comparative Analysis of Identified Green Building Standards</w:t>
      </w:r>
      <w:bookmarkEnd w:id="30"/>
    </w:p>
    <w:p w14:paraId="3601C46F" w14:textId="6849FE23" w:rsidR="00052B3F" w:rsidRPr="00D06382" w:rsidRDefault="00052B3F" w:rsidP="00052B3F">
      <w:pPr>
        <w:jc w:val="both"/>
        <w:rPr>
          <w:rFonts w:cs="Times New Roman"/>
        </w:rPr>
      </w:pPr>
      <w:r w:rsidRPr="00D06382">
        <w:rPr>
          <w:rFonts w:cs="Times New Roman"/>
        </w:rPr>
        <w:t xml:space="preserve">This analysis compares five prominent green building standards: Leadership in Energy and Environmental Design (LEED), Canada Green Building Council (CAGBC) Zero Carbon Building Standard, Passive House, Building Owners and Managers Association (BOMA) BEST, and the Toronto Green Standard (TGS). Each standard is examined in terms of its scope, focus, certification approach, energy efficiency requirements, net zero approach, embodied carbon considerations, and applicability to existing buildings. </w:t>
      </w:r>
      <w:r w:rsidRPr="00D06382">
        <w:rPr>
          <w:rFonts w:cs="Times New Roman"/>
          <w:color w:val="000000" w:themeColor="text1"/>
        </w:rPr>
        <w:t>Table 1 below provides a snapshot of the key similarities and differences, with the ensuing sections providing further details:</w:t>
      </w:r>
    </w:p>
    <w:p w14:paraId="7CD9B927" w14:textId="27967592" w:rsidR="00052B3F" w:rsidRPr="00D06382" w:rsidRDefault="00052B3F" w:rsidP="00052B3F">
      <w:pPr>
        <w:pStyle w:val="Caption"/>
        <w:jc w:val="center"/>
        <w:rPr>
          <w:rFonts w:asciiTheme="minorHAnsi" w:hAnsiTheme="minorHAnsi" w:cs="Times New Roman"/>
          <w:b/>
          <w:bCs/>
          <w:i/>
          <w:color w:val="AF1F24" w:themeColor="text2"/>
          <w:sz w:val="22"/>
          <w:szCs w:val="22"/>
        </w:rPr>
      </w:pPr>
      <w:r w:rsidRPr="00D06382">
        <w:rPr>
          <w:rFonts w:asciiTheme="minorHAnsi" w:hAnsiTheme="minorHAnsi" w:cs="Times New Roman"/>
          <w:b/>
          <w:bCs/>
          <w:i/>
          <w:iCs w:val="0"/>
          <w:color w:val="AF1F24" w:themeColor="text2"/>
          <w:sz w:val="22"/>
          <w:szCs w:val="22"/>
        </w:rPr>
        <w:t xml:space="preserve">Table </w:t>
      </w:r>
      <w:r w:rsidRPr="00D06382">
        <w:rPr>
          <w:rFonts w:asciiTheme="minorHAnsi" w:hAnsiTheme="minorHAnsi" w:cs="Times New Roman"/>
          <w:b/>
          <w:bCs/>
          <w:i/>
          <w:iCs w:val="0"/>
          <w:color w:val="AF1F24" w:themeColor="text2"/>
          <w:sz w:val="22"/>
          <w:szCs w:val="22"/>
        </w:rPr>
        <w:fldChar w:fldCharType="begin"/>
      </w:r>
      <w:r w:rsidRPr="00D06382">
        <w:rPr>
          <w:rFonts w:asciiTheme="minorHAnsi" w:hAnsiTheme="minorHAnsi" w:cs="Times New Roman"/>
          <w:b/>
          <w:bCs/>
          <w:i/>
          <w:iCs w:val="0"/>
          <w:color w:val="AF1F24" w:themeColor="text2"/>
          <w:sz w:val="22"/>
          <w:szCs w:val="22"/>
        </w:rPr>
        <w:instrText xml:space="preserve"> SEQ Table \* ARABIC </w:instrText>
      </w:r>
      <w:r w:rsidRPr="00D06382">
        <w:rPr>
          <w:rFonts w:asciiTheme="minorHAnsi" w:hAnsiTheme="minorHAnsi" w:cs="Times New Roman"/>
          <w:b/>
          <w:bCs/>
          <w:i/>
          <w:iCs w:val="0"/>
          <w:color w:val="AF1F24" w:themeColor="text2"/>
          <w:sz w:val="22"/>
          <w:szCs w:val="22"/>
        </w:rPr>
        <w:fldChar w:fldCharType="separate"/>
      </w:r>
      <w:r w:rsidR="007E61A3">
        <w:rPr>
          <w:rFonts w:asciiTheme="minorHAnsi" w:hAnsiTheme="minorHAnsi" w:cs="Times New Roman"/>
          <w:b/>
          <w:bCs/>
          <w:i/>
          <w:iCs w:val="0"/>
          <w:noProof/>
          <w:color w:val="AF1F24" w:themeColor="text2"/>
          <w:sz w:val="22"/>
          <w:szCs w:val="22"/>
        </w:rPr>
        <w:t>1</w:t>
      </w:r>
      <w:r w:rsidRPr="00D06382">
        <w:rPr>
          <w:rFonts w:asciiTheme="minorHAnsi" w:hAnsiTheme="minorHAnsi" w:cs="Times New Roman"/>
          <w:b/>
          <w:bCs/>
          <w:i/>
          <w:iCs w:val="0"/>
          <w:color w:val="AF1F24" w:themeColor="text2"/>
          <w:sz w:val="22"/>
          <w:szCs w:val="22"/>
        </w:rPr>
        <w:fldChar w:fldCharType="end"/>
      </w:r>
      <w:r w:rsidRPr="00D06382">
        <w:rPr>
          <w:rFonts w:asciiTheme="minorHAnsi" w:hAnsiTheme="minorHAnsi" w:cs="Times New Roman"/>
          <w:b/>
          <w:bCs/>
          <w:i/>
          <w:iCs w:val="0"/>
          <w:color w:val="AF1F24" w:themeColor="text2"/>
          <w:sz w:val="22"/>
          <w:szCs w:val="22"/>
        </w:rPr>
        <w:t>: Comparison of Key Green Building Standards</w:t>
      </w:r>
    </w:p>
    <w:tbl>
      <w:tblPr>
        <w:tblStyle w:val="TableGrid"/>
        <w:tblW w:w="0" w:type="auto"/>
        <w:tblLook w:val="04A0" w:firstRow="1" w:lastRow="0" w:firstColumn="1" w:lastColumn="0" w:noHBand="0" w:noVBand="1"/>
      </w:tblPr>
      <w:tblGrid>
        <w:gridCol w:w="871"/>
        <w:gridCol w:w="1089"/>
        <w:gridCol w:w="1069"/>
        <w:gridCol w:w="1061"/>
        <w:gridCol w:w="1059"/>
        <w:gridCol w:w="1059"/>
        <w:gridCol w:w="1159"/>
        <w:gridCol w:w="1071"/>
        <w:gridCol w:w="912"/>
      </w:tblGrid>
      <w:tr w:rsidR="00BA7EB3" w:rsidRPr="00BA7EB3" w14:paraId="406CC22D" w14:textId="77777777" w:rsidTr="00BA7EB3">
        <w:trPr>
          <w:cantSplit/>
          <w:trHeight w:val="1134"/>
        </w:trPr>
        <w:tc>
          <w:tcPr>
            <w:tcW w:w="947" w:type="dxa"/>
          </w:tcPr>
          <w:p w14:paraId="47A0FD69" w14:textId="77777777" w:rsidR="00052B3F" w:rsidRPr="00BA7EB3" w:rsidRDefault="00052B3F" w:rsidP="00BA7EB3">
            <w:pPr>
              <w:rPr>
                <w:rFonts w:cs="Times New Roman"/>
                <w:sz w:val="13"/>
                <w:szCs w:val="13"/>
              </w:rPr>
            </w:pPr>
            <w:r w:rsidRPr="00BA7EB3">
              <w:rPr>
                <w:rFonts w:cs="Times New Roman"/>
                <w:b/>
                <w:bCs/>
                <w:color w:val="000000"/>
                <w:sz w:val="13"/>
                <w:szCs w:val="13"/>
              </w:rPr>
              <w:t>Standards</w:t>
            </w:r>
          </w:p>
        </w:tc>
        <w:tc>
          <w:tcPr>
            <w:tcW w:w="1176" w:type="dxa"/>
          </w:tcPr>
          <w:p w14:paraId="062682E2" w14:textId="77777777" w:rsidR="00052B3F" w:rsidRPr="00BA7EB3" w:rsidRDefault="00052B3F" w:rsidP="00BA7EB3">
            <w:pPr>
              <w:rPr>
                <w:rFonts w:cs="Times New Roman"/>
                <w:sz w:val="13"/>
                <w:szCs w:val="13"/>
              </w:rPr>
            </w:pPr>
            <w:r w:rsidRPr="00BA7EB3">
              <w:rPr>
                <w:rFonts w:cs="Times New Roman"/>
                <w:b/>
                <w:bCs/>
                <w:color w:val="000000"/>
                <w:sz w:val="13"/>
                <w:szCs w:val="13"/>
              </w:rPr>
              <w:t>Scope &amp; Focus</w:t>
            </w:r>
          </w:p>
        </w:tc>
        <w:tc>
          <w:tcPr>
            <w:tcW w:w="1274" w:type="dxa"/>
          </w:tcPr>
          <w:p w14:paraId="0E77D47F" w14:textId="77777777" w:rsidR="00052B3F" w:rsidRPr="00BA7EB3" w:rsidRDefault="00052B3F" w:rsidP="00BA7EB3">
            <w:pPr>
              <w:rPr>
                <w:rFonts w:cs="Times New Roman"/>
                <w:sz w:val="13"/>
                <w:szCs w:val="13"/>
              </w:rPr>
            </w:pPr>
            <w:r w:rsidRPr="00BA7EB3">
              <w:rPr>
                <w:rFonts w:cs="Times New Roman"/>
                <w:b/>
                <w:bCs/>
                <w:color w:val="000000"/>
                <w:sz w:val="13"/>
                <w:szCs w:val="13"/>
              </w:rPr>
              <w:t>Certification Approach</w:t>
            </w:r>
          </w:p>
        </w:tc>
        <w:tc>
          <w:tcPr>
            <w:tcW w:w="1014" w:type="dxa"/>
          </w:tcPr>
          <w:p w14:paraId="261FCF0D" w14:textId="77777777" w:rsidR="00052B3F" w:rsidRPr="00BA7EB3" w:rsidRDefault="00052B3F" w:rsidP="00BA7EB3">
            <w:pPr>
              <w:rPr>
                <w:rFonts w:cs="Times New Roman"/>
                <w:sz w:val="13"/>
                <w:szCs w:val="13"/>
              </w:rPr>
            </w:pPr>
            <w:r w:rsidRPr="00BA7EB3">
              <w:rPr>
                <w:rFonts w:cs="Times New Roman"/>
                <w:b/>
                <w:bCs/>
                <w:color w:val="000000"/>
                <w:sz w:val="13"/>
                <w:szCs w:val="13"/>
              </w:rPr>
              <w:t>Energy Efficiency</w:t>
            </w:r>
          </w:p>
        </w:tc>
        <w:tc>
          <w:tcPr>
            <w:tcW w:w="1125" w:type="dxa"/>
          </w:tcPr>
          <w:p w14:paraId="2D56E111" w14:textId="77777777" w:rsidR="00052B3F" w:rsidRPr="00BA7EB3" w:rsidRDefault="00052B3F" w:rsidP="00BA7EB3">
            <w:pPr>
              <w:rPr>
                <w:rFonts w:cs="Times New Roman"/>
                <w:sz w:val="13"/>
                <w:szCs w:val="13"/>
              </w:rPr>
            </w:pPr>
            <w:r w:rsidRPr="00BA7EB3">
              <w:rPr>
                <w:rFonts w:cs="Times New Roman"/>
                <w:b/>
                <w:bCs/>
                <w:color w:val="000000"/>
                <w:sz w:val="13"/>
                <w:szCs w:val="13"/>
              </w:rPr>
              <w:t>Net Zero Approach</w:t>
            </w:r>
          </w:p>
        </w:tc>
        <w:tc>
          <w:tcPr>
            <w:tcW w:w="1125" w:type="dxa"/>
          </w:tcPr>
          <w:p w14:paraId="79051D9E" w14:textId="77777777" w:rsidR="00052B3F" w:rsidRPr="00BA7EB3" w:rsidRDefault="00052B3F" w:rsidP="00BA7EB3">
            <w:pPr>
              <w:rPr>
                <w:rFonts w:cs="Times New Roman"/>
                <w:sz w:val="13"/>
                <w:szCs w:val="13"/>
              </w:rPr>
            </w:pPr>
            <w:r w:rsidRPr="00BA7EB3">
              <w:rPr>
                <w:rFonts w:cs="Times New Roman"/>
                <w:b/>
                <w:bCs/>
                <w:color w:val="000000"/>
                <w:sz w:val="13"/>
                <w:szCs w:val="13"/>
              </w:rPr>
              <w:t>Embodied Carbon</w:t>
            </w:r>
          </w:p>
        </w:tc>
        <w:tc>
          <w:tcPr>
            <w:tcW w:w="1259" w:type="dxa"/>
          </w:tcPr>
          <w:p w14:paraId="544E2B6F" w14:textId="77777777" w:rsidR="00052B3F" w:rsidRPr="00BA7EB3" w:rsidRDefault="00052B3F" w:rsidP="00BA7EB3">
            <w:pPr>
              <w:rPr>
                <w:rFonts w:cs="Times New Roman"/>
                <w:sz w:val="13"/>
                <w:szCs w:val="13"/>
              </w:rPr>
            </w:pPr>
            <w:r w:rsidRPr="00BA7EB3">
              <w:rPr>
                <w:rFonts w:cs="Times New Roman"/>
                <w:b/>
                <w:bCs/>
                <w:color w:val="000000"/>
                <w:sz w:val="13"/>
                <w:szCs w:val="13"/>
              </w:rPr>
              <w:t>Stormwater Management</w:t>
            </w:r>
          </w:p>
        </w:tc>
        <w:tc>
          <w:tcPr>
            <w:tcW w:w="1140" w:type="dxa"/>
          </w:tcPr>
          <w:p w14:paraId="55E53709" w14:textId="77777777" w:rsidR="00052B3F" w:rsidRPr="00BA7EB3" w:rsidRDefault="00052B3F" w:rsidP="00BA7EB3">
            <w:pPr>
              <w:rPr>
                <w:rFonts w:cs="Times New Roman"/>
                <w:sz w:val="13"/>
                <w:szCs w:val="13"/>
              </w:rPr>
            </w:pPr>
            <w:r w:rsidRPr="00BA7EB3">
              <w:rPr>
                <w:rFonts w:cs="Times New Roman"/>
                <w:b/>
                <w:bCs/>
                <w:color w:val="000000"/>
                <w:sz w:val="13"/>
                <w:szCs w:val="13"/>
              </w:rPr>
              <w:t>Applicability to Existing Buildings</w:t>
            </w:r>
          </w:p>
        </w:tc>
        <w:tc>
          <w:tcPr>
            <w:tcW w:w="1010" w:type="dxa"/>
          </w:tcPr>
          <w:p w14:paraId="557D3BD2" w14:textId="77777777" w:rsidR="00052B3F" w:rsidRPr="00BA7EB3" w:rsidRDefault="00052B3F" w:rsidP="00BA7EB3">
            <w:pPr>
              <w:rPr>
                <w:rFonts w:cs="Times New Roman"/>
                <w:sz w:val="13"/>
                <w:szCs w:val="13"/>
              </w:rPr>
            </w:pPr>
            <w:r w:rsidRPr="00BA7EB3">
              <w:rPr>
                <w:rFonts w:cs="Times New Roman"/>
                <w:b/>
                <w:bCs/>
                <w:color w:val="000000"/>
                <w:sz w:val="13"/>
                <w:szCs w:val="13"/>
              </w:rPr>
              <w:t>Local Context</w:t>
            </w:r>
          </w:p>
        </w:tc>
      </w:tr>
      <w:tr w:rsidR="00BA7EB3" w:rsidRPr="00BA7EB3" w14:paraId="31201614" w14:textId="77777777" w:rsidTr="00BA7EB3">
        <w:trPr>
          <w:cantSplit/>
          <w:trHeight w:val="1134"/>
        </w:trPr>
        <w:tc>
          <w:tcPr>
            <w:tcW w:w="947" w:type="dxa"/>
          </w:tcPr>
          <w:p w14:paraId="27621EDA" w14:textId="77777777" w:rsidR="00052B3F" w:rsidRPr="00BA7EB3" w:rsidRDefault="00052B3F" w:rsidP="00BA7EB3">
            <w:pPr>
              <w:rPr>
                <w:rFonts w:cs="Times New Roman"/>
                <w:sz w:val="13"/>
                <w:szCs w:val="13"/>
              </w:rPr>
            </w:pPr>
            <w:r w:rsidRPr="00BA7EB3">
              <w:rPr>
                <w:rFonts w:cs="Times New Roman"/>
                <w:b/>
                <w:bCs/>
                <w:color w:val="000000"/>
                <w:sz w:val="13"/>
                <w:szCs w:val="13"/>
              </w:rPr>
              <w:t>LEED</w:t>
            </w:r>
          </w:p>
        </w:tc>
        <w:tc>
          <w:tcPr>
            <w:tcW w:w="1176" w:type="dxa"/>
          </w:tcPr>
          <w:p w14:paraId="7A465740" w14:textId="77777777" w:rsidR="00052B3F" w:rsidRPr="00BA7EB3" w:rsidRDefault="00052B3F" w:rsidP="00BA7EB3">
            <w:pPr>
              <w:rPr>
                <w:rFonts w:cs="Times New Roman"/>
                <w:sz w:val="13"/>
                <w:szCs w:val="13"/>
              </w:rPr>
            </w:pPr>
            <w:r w:rsidRPr="00BA7EB3">
              <w:rPr>
                <w:rFonts w:cs="Times New Roman"/>
                <w:color w:val="000000"/>
                <w:sz w:val="13"/>
                <w:szCs w:val="13"/>
              </w:rPr>
              <w:t>Broad, covering various aspects of sustainability.</w:t>
            </w:r>
          </w:p>
        </w:tc>
        <w:tc>
          <w:tcPr>
            <w:tcW w:w="1274" w:type="dxa"/>
          </w:tcPr>
          <w:p w14:paraId="778E2C15" w14:textId="77777777" w:rsidR="00052B3F" w:rsidRPr="00BA7EB3" w:rsidRDefault="00052B3F" w:rsidP="00BA7EB3">
            <w:pPr>
              <w:rPr>
                <w:rFonts w:cs="Times New Roman"/>
                <w:sz w:val="13"/>
                <w:szCs w:val="13"/>
              </w:rPr>
            </w:pPr>
            <w:r w:rsidRPr="00BA7EB3">
              <w:rPr>
                <w:rFonts w:cs="Times New Roman"/>
                <w:color w:val="000000"/>
                <w:sz w:val="13"/>
                <w:szCs w:val="13"/>
              </w:rPr>
              <w:t>Points-based system with multiple certification levels.</w:t>
            </w:r>
          </w:p>
        </w:tc>
        <w:tc>
          <w:tcPr>
            <w:tcW w:w="1014" w:type="dxa"/>
          </w:tcPr>
          <w:p w14:paraId="243E08F5" w14:textId="77777777" w:rsidR="00052B3F" w:rsidRPr="00BA7EB3" w:rsidRDefault="00052B3F" w:rsidP="00BA7EB3">
            <w:pPr>
              <w:rPr>
                <w:rFonts w:cs="Times New Roman"/>
                <w:sz w:val="13"/>
                <w:szCs w:val="13"/>
              </w:rPr>
            </w:pPr>
            <w:r w:rsidRPr="00BA7EB3">
              <w:rPr>
                <w:rFonts w:cs="Times New Roman"/>
                <w:color w:val="000000"/>
                <w:sz w:val="13"/>
                <w:szCs w:val="13"/>
              </w:rPr>
              <w:t>Varies, with points awarded for energy-efficient measures.</w:t>
            </w:r>
          </w:p>
        </w:tc>
        <w:tc>
          <w:tcPr>
            <w:tcW w:w="1125" w:type="dxa"/>
          </w:tcPr>
          <w:p w14:paraId="7AEA650F" w14:textId="2BFD129B" w:rsidR="00052B3F" w:rsidRPr="00BA7EB3" w:rsidRDefault="00052B3F" w:rsidP="00BA7EB3">
            <w:pPr>
              <w:rPr>
                <w:rFonts w:cs="Times New Roman"/>
                <w:sz w:val="13"/>
                <w:szCs w:val="13"/>
              </w:rPr>
            </w:pPr>
            <w:r w:rsidRPr="00BA7EB3">
              <w:rPr>
                <w:rFonts w:cs="Times New Roman"/>
                <w:color w:val="000000"/>
                <w:sz w:val="13"/>
                <w:szCs w:val="13"/>
              </w:rPr>
              <w:t>Can support net-zero goals but doesn</w:t>
            </w:r>
            <w:r w:rsidR="00027B17">
              <w:rPr>
                <w:rFonts w:cs="Times New Roman"/>
                <w:color w:val="000000"/>
                <w:sz w:val="13"/>
                <w:szCs w:val="13"/>
              </w:rPr>
              <w:t>’</w:t>
            </w:r>
            <w:r w:rsidRPr="00BA7EB3">
              <w:rPr>
                <w:rFonts w:cs="Times New Roman"/>
                <w:color w:val="000000"/>
                <w:sz w:val="13"/>
                <w:szCs w:val="13"/>
              </w:rPr>
              <w:t>t require them.</w:t>
            </w:r>
          </w:p>
        </w:tc>
        <w:tc>
          <w:tcPr>
            <w:tcW w:w="1125" w:type="dxa"/>
          </w:tcPr>
          <w:p w14:paraId="3E6F6606" w14:textId="77777777" w:rsidR="00052B3F" w:rsidRPr="00BA7EB3" w:rsidRDefault="00052B3F" w:rsidP="00BA7EB3">
            <w:pPr>
              <w:rPr>
                <w:rFonts w:cs="Times New Roman"/>
                <w:color w:val="000000"/>
                <w:sz w:val="13"/>
                <w:szCs w:val="13"/>
              </w:rPr>
            </w:pPr>
            <w:r w:rsidRPr="00BA7EB3">
              <w:rPr>
                <w:rFonts w:cs="Times New Roman"/>
                <w:color w:val="000000"/>
                <w:sz w:val="13"/>
                <w:szCs w:val="13"/>
              </w:rPr>
              <w:t>Increased focus in LEED v4.1.</w:t>
            </w:r>
          </w:p>
          <w:p w14:paraId="5412ACDD" w14:textId="77777777" w:rsidR="00AD1D59" w:rsidRPr="00BA7EB3" w:rsidRDefault="00AD1D59" w:rsidP="00BA7EB3">
            <w:pPr>
              <w:rPr>
                <w:rFonts w:cs="Times New Roman"/>
                <w:sz w:val="13"/>
                <w:szCs w:val="13"/>
              </w:rPr>
            </w:pPr>
          </w:p>
          <w:p w14:paraId="0D33EA49" w14:textId="051F9F13" w:rsidR="00AD1D59" w:rsidRPr="00BA7EB3" w:rsidRDefault="00AD1D59" w:rsidP="00BA7EB3">
            <w:pPr>
              <w:rPr>
                <w:rFonts w:cs="Times New Roman"/>
                <w:sz w:val="13"/>
                <w:szCs w:val="13"/>
              </w:rPr>
            </w:pPr>
          </w:p>
        </w:tc>
        <w:tc>
          <w:tcPr>
            <w:tcW w:w="1259" w:type="dxa"/>
          </w:tcPr>
          <w:p w14:paraId="1BAFB37C" w14:textId="77777777" w:rsidR="00052B3F" w:rsidRPr="00BA7EB3" w:rsidRDefault="00052B3F" w:rsidP="00BA7EB3">
            <w:pPr>
              <w:rPr>
                <w:rFonts w:cs="Times New Roman"/>
                <w:sz w:val="13"/>
                <w:szCs w:val="13"/>
              </w:rPr>
            </w:pPr>
            <w:r w:rsidRPr="00BA7EB3">
              <w:rPr>
                <w:rFonts w:cs="Times New Roman"/>
                <w:color w:val="000000"/>
                <w:sz w:val="13"/>
                <w:szCs w:val="13"/>
              </w:rPr>
              <w:t>Comprehensive approach, including rainwater management and heat island reduction.</w:t>
            </w:r>
          </w:p>
        </w:tc>
        <w:tc>
          <w:tcPr>
            <w:tcW w:w="1140" w:type="dxa"/>
          </w:tcPr>
          <w:p w14:paraId="3E856208" w14:textId="77777777" w:rsidR="00052B3F" w:rsidRPr="00BA7EB3" w:rsidRDefault="00052B3F" w:rsidP="00BA7EB3">
            <w:pPr>
              <w:rPr>
                <w:rFonts w:cs="Times New Roman"/>
                <w:sz w:val="13"/>
                <w:szCs w:val="13"/>
              </w:rPr>
            </w:pPr>
            <w:r w:rsidRPr="00BA7EB3">
              <w:rPr>
                <w:rFonts w:cs="Times New Roman"/>
                <w:color w:val="000000"/>
                <w:sz w:val="13"/>
                <w:szCs w:val="13"/>
              </w:rPr>
              <w:t>LEED O+M for existing buildings.</w:t>
            </w:r>
          </w:p>
        </w:tc>
        <w:tc>
          <w:tcPr>
            <w:tcW w:w="1010" w:type="dxa"/>
          </w:tcPr>
          <w:p w14:paraId="1E0E9969" w14:textId="77777777" w:rsidR="00052B3F" w:rsidRPr="00BA7EB3" w:rsidRDefault="00052B3F" w:rsidP="00BA7EB3">
            <w:pPr>
              <w:rPr>
                <w:rFonts w:cs="Times New Roman"/>
                <w:sz w:val="13"/>
                <w:szCs w:val="13"/>
              </w:rPr>
            </w:pPr>
            <w:r w:rsidRPr="00BA7EB3">
              <w:rPr>
                <w:rFonts w:cs="Times New Roman"/>
                <w:color w:val="000000"/>
                <w:sz w:val="13"/>
                <w:szCs w:val="13"/>
              </w:rPr>
              <w:t>Applicable across various contexts.</w:t>
            </w:r>
          </w:p>
        </w:tc>
      </w:tr>
      <w:tr w:rsidR="00BA7EB3" w:rsidRPr="00BA7EB3" w14:paraId="7760DFA2" w14:textId="77777777" w:rsidTr="00BA7EB3">
        <w:trPr>
          <w:cantSplit/>
          <w:trHeight w:val="1134"/>
        </w:trPr>
        <w:tc>
          <w:tcPr>
            <w:tcW w:w="947" w:type="dxa"/>
          </w:tcPr>
          <w:p w14:paraId="36FBDB4D" w14:textId="77777777" w:rsidR="00052B3F" w:rsidRPr="00BA7EB3" w:rsidRDefault="00052B3F" w:rsidP="00BA7EB3">
            <w:pPr>
              <w:rPr>
                <w:rFonts w:cs="Times New Roman"/>
                <w:sz w:val="13"/>
                <w:szCs w:val="13"/>
              </w:rPr>
            </w:pPr>
            <w:r w:rsidRPr="00BA7EB3">
              <w:rPr>
                <w:rFonts w:cs="Times New Roman"/>
                <w:b/>
                <w:bCs/>
                <w:color w:val="000000"/>
                <w:sz w:val="13"/>
                <w:szCs w:val="13"/>
              </w:rPr>
              <w:lastRenderedPageBreak/>
              <w:t>CAGBC Zero Carbon Building Standard</w:t>
            </w:r>
          </w:p>
        </w:tc>
        <w:tc>
          <w:tcPr>
            <w:tcW w:w="1176" w:type="dxa"/>
          </w:tcPr>
          <w:p w14:paraId="7718F13C" w14:textId="77777777" w:rsidR="00052B3F" w:rsidRPr="00BA7EB3" w:rsidRDefault="00052B3F" w:rsidP="00BA7EB3">
            <w:pPr>
              <w:rPr>
                <w:rFonts w:cs="Times New Roman"/>
                <w:sz w:val="13"/>
                <w:szCs w:val="13"/>
              </w:rPr>
            </w:pPr>
            <w:r w:rsidRPr="00BA7EB3">
              <w:rPr>
                <w:rFonts w:cs="Times New Roman"/>
                <w:color w:val="000000"/>
                <w:sz w:val="13"/>
                <w:szCs w:val="13"/>
              </w:rPr>
              <w:t>Focused on carbon emissions, both operational and embodied.</w:t>
            </w:r>
          </w:p>
        </w:tc>
        <w:tc>
          <w:tcPr>
            <w:tcW w:w="1274" w:type="dxa"/>
          </w:tcPr>
          <w:p w14:paraId="12EB89F4" w14:textId="77777777" w:rsidR="00052B3F" w:rsidRPr="00BA7EB3" w:rsidRDefault="00052B3F" w:rsidP="00BA7EB3">
            <w:pPr>
              <w:rPr>
                <w:rFonts w:cs="Times New Roman"/>
                <w:sz w:val="13"/>
                <w:szCs w:val="13"/>
              </w:rPr>
            </w:pPr>
            <w:r w:rsidRPr="00BA7EB3">
              <w:rPr>
                <w:rFonts w:cs="Times New Roman"/>
                <w:color w:val="000000"/>
                <w:sz w:val="13"/>
                <w:szCs w:val="13"/>
              </w:rPr>
              <w:t>Binary certification (certified or not) with two paths: Design and Performance.</w:t>
            </w:r>
          </w:p>
        </w:tc>
        <w:tc>
          <w:tcPr>
            <w:tcW w:w="1014" w:type="dxa"/>
          </w:tcPr>
          <w:p w14:paraId="7118128E" w14:textId="77777777" w:rsidR="00052B3F" w:rsidRPr="00BA7EB3" w:rsidRDefault="00052B3F" w:rsidP="00BA7EB3">
            <w:pPr>
              <w:rPr>
                <w:rFonts w:cs="Times New Roman"/>
                <w:sz w:val="13"/>
                <w:szCs w:val="13"/>
              </w:rPr>
            </w:pPr>
            <w:r w:rsidRPr="00BA7EB3">
              <w:rPr>
                <w:rFonts w:cs="Times New Roman"/>
                <w:color w:val="000000"/>
                <w:sz w:val="13"/>
                <w:szCs w:val="13"/>
              </w:rPr>
              <w:t>Sets energy efficiency targets as part of carbon reduction strategy.</w:t>
            </w:r>
          </w:p>
        </w:tc>
        <w:tc>
          <w:tcPr>
            <w:tcW w:w="1125" w:type="dxa"/>
          </w:tcPr>
          <w:p w14:paraId="438CC546" w14:textId="77777777" w:rsidR="00052B3F" w:rsidRPr="00BA7EB3" w:rsidRDefault="00052B3F" w:rsidP="00BA7EB3">
            <w:pPr>
              <w:rPr>
                <w:rFonts w:cs="Times New Roman"/>
                <w:sz w:val="13"/>
                <w:szCs w:val="13"/>
              </w:rPr>
            </w:pPr>
            <w:r w:rsidRPr="00BA7EB3">
              <w:rPr>
                <w:rFonts w:cs="Times New Roman"/>
                <w:color w:val="000000"/>
                <w:sz w:val="13"/>
                <w:szCs w:val="13"/>
              </w:rPr>
              <w:t>Requires net-zero carbon performance.</w:t>
            </w:r>
          </w:p>
        </w:tc>
        <w:tc>
          <w:tcPr>
            <w:tcW w:w="1125" w:type="dxa"/>
          </w:tcPr>
          <w:p w14:paraId="0A78F9A8" w14:textId="77777777" w:rsidR="00052B3F" w:rsidRPr="00BA7EB3" w:rsidRDefault="00052B3F" w:rsidP="00BA7EB3">
            <w:pPr>
              <w:rPr>
                <w:rFonts w:cs="Times New Roman"/>
                <w:sz w:val="13"/>
                <w:szCs w:val="13"/>
              </w:rPr>
            </w:pPr>
            <w:r w:rsidRPr="00BA7EB3">
              <w:rPr>
                <w:rFonts w:cs="Times New Roman"/>
                <w:color w:val="000000"/>
                <w:sz w:val="13"/>
                <w:szCs w:val="13"/>
              </w:rPr>
              <w:t>Significant emphasis on embodied carbon, requiring life-cycle assessment.</w:t>
            </w:r>
          </w:p>
        </w:tc>
        <w:tc>
          <w:tcPr>
            <w:tcW w:w="1259" w:type="dxa"/>
          </w:tcPr>
          <w:p w14:paraId="5E0E52BC" w14:textId="1C9C5216" w:rsidR="00052B3F" w:rsidRPr="00BA7EB3" w:rsidRDefault="00052B3F" w:rsidP="00BA7EB3">
            <w:pPr>
              <w:rPr>
                <w:rFonts w:cs="Times New Roman"/>
                <w:sz w:val="13"/>
                <w:szCs w:val="13"/>
              </w:rPr>
            </w:pPr>
            <w:r w:rsidRPr="00BA7EB3">
              <w:rPr>
                <w:rFonts w:cs="Times New Roman"/>
                <w:color w:val="000000"/>
                <w:sz w:val="13"/>
                <w:szCs w:val="13"/>
              </w:rPr>
              <w:t>Doesn</w:t>
            </w:r>
            <w:r w:rsidR="00027B17">
              <w:rPr>
                <w:rFonts w:cs="Times New Roman"/>
                <w:color w:val="000000"/>
                <w:sz w:val="13"/>
                <w:szCs w:val="13"/>
              </w:rPr>
              <w:t>’</w:t>
            </w:r>
            <w:r w:rsidRPr="00BA7EB3">
              <w:rPr>
                <w:rFonts w:cs="Times New Roman"/>
                <w:color w:val="000000"/>
                <w:sz w:val="13"/>
                <w:szCs w:val="13"/>
              </w:rPr>
              <w:t>t directly address stormwater management, but indirectly through resilience focus.</w:t>
            </w:r>
          </w:p>
        </w:tc>
        <w:tc>
          <w:tcPr>
            <w:tcW w:w="1140" w:type="dxa"/>
          </w:tcPr>
          <w:p w14:paraId="6688D2AE" w14:textId="77777777" w:rsidR="00052B3F" w:rsidRPr="00BA7EB3" w:rsidRDefault="00052B3F" w:rsidP="00BA7EB3">
            <w:pPr>
              <w:rPr>
                <w:rFonts w:cs="Times New Roman"/>
                <w:sz w:val="13"/>
                <w:szCs w:val="13"/>
              </w:rPr>
            </w:pPr>
            <w:r w:rsidRPr="00BA7EB3">
              <w:rPr>
                <w:rFonts w:cs="Times New Roman"/>
                <w:color w:val="000000"/>
                <w:sz w:val="13"/>
                <w:szCs w:val="13"/>
              </w:rPr>
              <w:t>Offers pathways for new and existing buildings.</w:t>
            </w:r>
          </w:p>
        </w:tc>
        <w:tc>
          <w:tcPr>
            <w:tcW w:w="1010" w:type="dxa"/>
          </w:tcPr>
          <w:p w14:paraId="2A075BFE" w14:textId="77777777" w:rsidR="00052B3F" w:rsidRPr="00BA7EB3" w:rsidRDefault="00052B3F" w:rsidP="00BA7EB3">
            <w:pPr>
              <w:rPr>
                <w:rFonts w:cs="Times New Roman"/>
                <w:sz w:val="13"/>
                <w:szCs w:val="13"/>
              </w:rPr>
            </w:pPr>
            <w:r w:rsidRPr="00BA7EB3">
              <w:rPr>
                <w:rFonts w:cs="Times New Roman"/>
                <w:color w:val="000000"/>
                <w:sz w:val="13"/>
                <w:szCs w:val="13"/>
              </w:rPr>
              <w:t>Applicable across various contexts.</w:t>
            </w:r>
          </w:p>
        </w:tc>
      </w:tr>
      <w:tr w:rsidR="00BA7EB3" w:rsidRPr="00BA7EB3" w14:paraId="249F943E" w14:textId="77777777" w:rsidTr="00BA7EB3">
        <w:trPr>
          <w:cantSplit/>
          <w:trHeight w:val="1134"/>
        </w:trPr>
        <w:tc>
          <w:tcPr>
            <w:tcW w:w="947" w:type="dxa"/>
          </w:tcPr>
          <w:p w14:paraId="5A704B2D" w14:textId="77777777" w:rsidR="00052B3F" w:rsidRPr="00BA7EB3" w:rsidRDefault="00052B3F" w:rsidP="00BA7EB3">
            <w:pPr>
              <w:rPr>
                <w:rFonts w:cs="Times New Roman"/>
                <w:sz w:val="13"/>
                <w:szCs w:val="13"/>
              </w:rPr>
            </w:pPr>
            <w:r w:rsidRPr="00BA7EB3">
              <w:rPr>
                <w:rFonts w:cs="Times New Roman"/>
                <w:b/>
                <w:bCs/>
                <w:color w:val="000000"/>
                <w:sz w:val="13"/>
                <w:szCs w:val="13"/>
              </w:rPr>
              <w:t>Passive House</w:t>
            </w:r>
          </w:p>
        </w:tc>
        <w:tc>
          <w:tcPr>
            <w:tcW w:w="1176" w:type="dxa"/>
          </w:tcPr>
          <w:p w14:paraId="2100EAF8" w14:textId="77777777" w:rsidR="00052B3F" w:rsidRPr="00BA7EB3" w:rsidRDefault="00052B3F" w:rsidP="00BA7EB3">
            <w:pPr>
              <w:rPr>
                <w:rFonts w:cs="Times New Roman"/>
                <w:sz w:val="13"/>
                <w:szCs w:val="13"/>
              </w:rPr>
            </w:pPr>
            <w:r w:rsidRPr="00BA7EB3">
              <w:rPr>
                <w:rFonts w:cs="Times New Roman"/>
                <w:color w:val="000000"/>
                <w:sz w:val="13"/>
                <w:szCs w:val="13"/>
              </w:rPr>
              <w:t>Concentrates on energy efficiency and thermal performance.</w:t>
            </w:r>
          </w:p>
        </w:tc>
        <w:tc>
          <w:tcPr>
            <w:tcW w:w="1274" w:type="dxa"/>
          </w:tcPr>
          <w:p w14:paraId="3B42FBF8" w14:textId="77777777" w:rsidR="00052B3F" w:rsidRPr="00BA7EB3" w:rsidRDefault="00052B3F" w:rsidP="00BA7EB3">
            <w:pPr>
              <w:rPr>
                <w:rFonts w:cs="Times New Roman"/>
                <w:sz w:val="13"/>
                <w:szCs w:val="13"/>
              </w:rPr>
            </w:pPr>
            <w:r w:rsidRPr="00BA7EB3">
              <w:rPr>
                <w:rFonts w:cs="Times New Roman"/>
                <w:color w:val="000000"/>
                <w:sz w:val="13"/>
                <w:szCs w:val="13"/>
              </w:rPr>
              <w:t>Sets specific performance targets with three certification levels.</w:t>
            </w:r>
          </w:p>
        </w:tc>
        <w:tc>
          <w:tcPr>
            <w:tcW w:w="1014" w:type="dxa"/>
          </w:tcPr>
          <w:p w14:paraId="13C924B3" w14:textId="77777777" w:rsidR="00052B3F" w:rsidRPr="00BA7EB3" w:rsidRDefault="00052B3F" w:rsidP="00BA7EB3">
            <w:pPr>
              <w:rPr>
                <w:rFonts w:cs="Times New Roman"/>
                <w:sz w:val="13"/>
                <w:szCs w:val="13"/>
              </w:rPr>
            </w:pPr>
            <w:r w:rsidRPr="00BA7EB3">
              <w:rPr>
                <w:rFonts w:cs="Times New Roman"/>
                <w:color w:val="000000"/>
                <w:sz w:val="13"/>
                <w:szCs w:val="13"/>
              </w:rPr>
              <w:t>Sets stringent energy efficiency requirements.</w:t>
            </w:r>
          </w:p>
        </w:tc>
        <w:tc>
          <w:tcPr>
            <w:tcW w:w="1125" w:type="dxa"/>
          </w:tcPr>
          <w:p w14:paraId="2691A512" w14:textId="77777777" w:rsidR="00052B3F" w:rsidRPr="00BA7EB3" w:rsidRDefault="00052B3F" w:rsidP="00BA7EB3">
            <w:pPr>
              <w:rPr>
                <w:rFonts w:cs="Times New Roman"/>
                <w:sz w:val="13"/>
                <w:szCs w:val="13"/>
              </w:rPr>
            </w:pPr>
            <w:r w:rsidRPr="00BA7EB3">
              <w:rPr>
                <w:rFonts w:cs="Times New Roman"/>
                <w:color w:val="000000"/>
                <w:sz w:val="13"/>
                <w:szCs w:val="13"/>
              </w:rPr>
              <w:t>Approaches net-zero energy performance through stringent requirements.</w:t>
            </w:r>
          </w:p>
        </w:tc>
        <w:tc>
          <w:tcPr>
            <w:tcW w:w="1125" w:type="dxa"/>
          </w:tcPr>
          <w:p w14:paraId="3C76664D" w14:textId="6130A2AC" w:rsidR="00052B3F" w:rsidRPr="00BA7EB3" w:rsidRDefault="00052B3F" w:rsidP="00BA7EB3">
            <w:pPr>
              <w:rPr>
                <w:rFonts w:cs="Times New Roman"/>
                <w:sz w:val="13"/>
                <w:szCs w:val="13"/>
              </w:rPr>
            </w:pPr>
            <w:r w:rsidRPr="00BA7EB3">
              <w:rPr>
                <w:rFonts w:cs="Times New Roman"/>
                <w:color w:val="000000"/>
                <w:sz w:val="13"/>
                <w:szCs w:val="13"/>
              </w:rPr>
              <w:t>Doesn</w:t>
            </w:r>
            <w:r w:rsidR="00027B17">
              <w:rPr>
                <w:rFonts w:cs="Times New Roman"/>
                <w:color w:val="000000"/>
                <w:sz w:val="13"/>
                <w:szCs w:val="13"/>
              </w:rPr>
              <w:t>’</w:t>
            </w:r>
            <w:r w:rsidRPr="00BA7EB3">
              <w:rPr>
                <w:rFonts w:cs="Times New Roman"/>
                <w:color w:val="000000"/>
                <w:sz w:val="13"/>
                <w:szCs w:val="13"/>
              </w:rPr>
              <w:t>t explicitly address embodied carbon.</w:t>
            </w:r>
          </w:p>
        </w:tc>
        <w:tc>
          <w:tcPr>
            <w:tcW w:w="1259" w:type="dxa"/>
          </w:tcPr>
          <w:p w14:paraId="253F6BBF" w14:textId="4B4B3590" w:rsidR="00052B3F" w:rsidRPr="00BA7EB3" w:rsidRDefault="00052B3F" w:rsidP="00BA7EB3">
            <w:pPr>
              <w:rPr>
                <w:rFonts w:cs="Times New Roman"/>
                <w:sz w:val="13"/>
                <w:szCs w:val="13"/>
              </w:rPr>
            </w:pPr>
            <w:r w:rsidRPr="00BA7EB3">
              <w:rPr>
                <w:rFonts w:cs="Times New Roman"/>
                <w:color w:val="000000"/>
                <w:sz w:val="13"/>
                <w:szCs w:val="13"/>
              </w:rPr>
              <w:t>Doesn</w:t>
            </w:r>
            <w:r w:rsidR="00027B17">
              <w:rPr>
                <w:rFonts w:cs="Times New Roman"/>
                <w:color w:val="000000"/>
                <w:sz w:val="13"/>
                <w:szCs w:val="13"/>
              </w:rPr>
              <w:t>’</w:t>
            </w:r>
            <w:r w:rsidRPr="00BA7EB3">
              <w:rPr>
                <w:rFonts w:cs="Times New Roman"/>
                <w:color w:val="000000"/>
                <w:sz w:val="13"/>
                <w:szCs w:val="13"/>
              </w:rPr>
              <w:t>t include specific requirements for stormwater management.</w:t>
            </w:r>
          </w:p>
        </w:tc>
        <w:tc>
          <w:tcPr>
            <w:tcW w:w="1140" w:type="dxa"/>
          </w:tcPr>
          <w:p w14:paraId="0D1534B7" w14:textId="17420B30" w:rsidR="00052B3F" w:rsidRPr="00BA7EB3" w:rsidRDefault="00052B3F" w:rsidP="00BA7EB3">
            <w:pPr>
              <w:rPr>
                <w:rFonts w:cs="Times New Roman"/>
                <w:sz w:val="13"/>
                <w:szCs w:val="13"/>
              </w:rPr>
            </w:pPr>
            <w:r w:rsidRPr="00BA7EB3">
              <w:rPr>
                <w:rFonts w:cs="Times New Roman"/>
                <w:color w:val="000000"/>
                <w:sz w:val="13"/>
                <w:szCs w:val="13"/>
              </w:rPr>
              <w:t xml:space="preserve">EnerPHit standard for existing </w:t>
            </w:r>
            <w:r w:rsidR="005767EF" w:rsidRPr="00BA7EB3">
              <w:rPr>
                <w:rFonts w:cs="Times New Roman"/>
                <w:color w:val="000000"/>
                <w:sz w:val="13"/>
                <w:szCs w:val="13"/>
              </w:rPr>
              <w:t>buildings but</w:t>
            </w:r>
            <w:r w:rsidRPr="00BA7EB3">
              <w:rPr>
                <w:rFonts w:cs="Times New Roman"/>
                <w:color w:val="000000"/>
                <w:sz w:val="13"/>
                <w:szCs w:val="13"/>
              </w:rPr>
              <w:t xml:space="preserve"> primarily used in new construction.</w:t>
            </w:r>
          </w:p>
        </w:tc>
        <w:tc>
          <w:tcPr>
            <w:tcW w:w="1010" w:type="dxa"/>
          </w:tcPr>
          <w:p w14:paraId="0193F80C" w14:textId="77777777" w:rsidR="00052B3F" w:rsidRPr="00BA7EB3" w:rsidRDefault="00052B3F" w:rsidP="00BA7EB3">
            <w:pPr>
              <w:rPr>
                <w:rFonts w:cs="Times New Roman"/>
                <w:sz w:val="13"/>
                <w:szCs w:val="13"/>
              </w:rPr>
            </w:pPr>
            <w:r w:rsidRPr="00BA7EB3">
              <w:rPr>
                <w:rFonts w:cs="Times New Roman"/>
                <w:color w:val="000000"/>
                <w:sz w:val="13"/>
                <w:szCs w:val="13"/>
              </w:rPr>
              <w:t>Applicable across various contexts.</w:t>
            </w:r>
          </w:p>
        </w:tc>
      </w:tr>
      <w:tr w:rsidR="00BA7EB3" w:rsidRPr="00BA7EB3" w14:paraId="668EEEBC" w14:textId="77777777" w:rsidTr="00BA7EB3">
        <w:trPr>
          <w:cantSplit/>
          <w:trHeight w:val="1134"/>
        </w:trPr>
        <w:tc>
          <w:tcPr>
            <w:tcW w:w="947" w:type="dxa"/>
          </w:tcPr>
          <w:p w14:paraId="1906C4A0" w14:textId="77777777" w:rsidR="00052B3F" w:rsidRPr="00BA7EB3" w:rsidRDefault="00052B3F" w:rsidP="00BA7EB3">
            <w:pPr>
              <w:rPr>
                <w:rFonts w:cs="Times New Roman"/>
                <w:sz w:val="13"/>
                <w:szCs w:val="13"/>
              </w:rPr>
            </w:pPr>
            <w:r w:rsidRPr="00BA7EB3">
              <w:rPr>
                <w:rFonts w:cs="Times New Roman"/>
                <w:b/>
                <w:bCs/>
                <w:color w:val="000000"/>
                <w:sz w:val="13"/>
                <w:szCs w:val="13"/>
              </w:rPr>
              <w:t>BOMA BEST</w:t>
            </w:r>
          </w:p>
        </w:tc>
        <w:tc>
          <w:tcPr>
            <w:tcW w:w="1176" w:type="dxa"/>
          </w:tcPr>
          <w:p w14:paraId="33B1F2A6" w14:textId="77777777" w:rsidR="00052B3F" w:rsidRPr="00BA7EB3" w:rsidRDefault="00052B3F" w:rsidP="00BA7EB3">
            <w:pPr>
              <w:rPr>
                <w:rFonts w:cs="Times New Roman"/>
                <w:sz w:val="13"/>
                <w:szCs w:val="13"/>
              </w:rPr>
            </w:pPr>
            <w:r w:rsidRPr="00BA7EB3">
              <w:rPr>
                <w:rFonts w:cs="Times New Roman"/>
                <w:color w:val="000000"/>
                <w:sz w:val="13"/>
                <w:szCs w:val="13"/>
              </w:rPr>
              <w:t>Exclusively focused on existing buildings and their operations.</w:t>
            </w:r>
          </w:p>
        </w:tc>
        <w:tc>
          <w:tcPr>
            <w:tcW w:w="1274" w:type="dxa"/>
          </w:tcPr>
          <w:p w14:paraId="4CB69532" w14:textId="77777777" w:rsidR="00052B3F" w:rsidRPr="00BA7EB3" w:rsidRDefault="00052B3F" w:rsidP="00BA7EB3">
            <w:pPr>
              <w:rPr>
                <w:rFonts w:cs="Times New Roman"/>
                <w:sz w:val="13"/>
                <w:szCs w:val="13"/>
              </w:rPr>
            </w:pPr>
            <w:r w:rsidRPr="00BA7EB3">
              <w:rPr>
                <w:rFonts w:cs="Times New Roman"/>
                <w:color w:val="000000"/>
                <w:sz w:val="13"/>
                <w:szCs w:val="13"/>
              </w:rPr>
              <w:t>Percentage-based scoring system with five certification levels.</w:t>
            </w:r>
          </w:p>
        </w:tc>
        <w:tc>
          <w:tcPr>
            <w:tcW w:w="1014" w:type="dxa"/>
          </w:tcPr>
          <w:p w14:paraId="13867AEB" w14:textId="413BC6AB" w:rsidR="00052B3F" w:rsidRPr="00BA7EB3" w:rsidRDefault="00052B3F" w:rsidP="00BA7EB3">
            <w:pPr>
              <w:rPr>
                <w:rFonts w:cs="Times New Roman"/>
                <w:sz w:val="13"/>
                <w:szCs w:val="13"/>
              </w:rPr>
            </w:pPr>
            <w:r w:rsidRPr="00BA7EB3">
              <w:rPr>
                <w:rFonts w:cs="Times New Roman"/>
                <w:color w:val="000000"/>
                <w:sz w:val="13"/>
                <w:szCs w:val="13"/>
              </w:rPr>
              <w:t>Encourages energy efficiency improvements but doesn</w:t>
            </w:r>
            <w:r w:rsidR="00027B17">
              <w:rPr>
                <w:rFonts w:cs="Times New Roman"/>
                <w:color w:val="000000"/>
                <w:sz w:val="13"/>
                <w:szCs w:val="13"/>
              </w:rPr>
              <w:t>’</w:t>
            </w:r>
            <w:r w:rsidRPr="00BA7EB3">
              <w:rPr>
                <w:rFonts w:cs="Times New Roman"/>
                <w:color w:val="000000"/>
                <w:sz w:val="13"/>
                <w:szCs w:val="13"/>
              </w:rPr>
              <w:t>t set specific targets.</w:t>
            </w:r>
          </w:p>
        </w:tc>
        <w:tc>
          <w:tcPr>
            <w:tcW w:w="1125" w:type="dxa"/>
          </w:tcPr>
          <w:p w14:paraId="292639C7" w14:textId="421E4FF4" w:rsidR="00052B3F" w:rsidRPr="00BA7EB3" w:rsidRDefault="00052B3F" w:rsidP="00BA7EB3">
            <w:pPr>
              <w:rPr>
                <w:rFonts w:cs="Times New Roman"/>
                <w:sz w:val="13"/>
                <w:szCs w:val="13"/>
              </w:rPr>
            </w:pPr>
            <w:r w:rsidRPr="00BA7EB3">
              <w:rPr>
                <w:rFonts w:cs="Times New Roman"/>
                <w:color w:val="000000"/>
                <w:sz w:val="13"/>
                <w:szCs w:val="13"/>
              </w:rPr>
              <w:t>Doesn</w:t>
            </w:r>
            <w:r w:rsidR="00027B17">
              <w:rPr>
                <w:rFonts w:cs="Times New Roman"/>
                <w:color w:val="000000"/>
                <w:sz w:val="13"/>
                <w:szCs w:val="13"/>
              </w:rPr>
              <w:t>’</w:t>
            </w:r>
            <w:r w:rsidRPr="00BA7EB3">
              <w:rPr>
                <w:rFonts w:cs="Times New Roman"/>
                <w:color w:val="000000"/>
                <w:sz w:val="13"/>
                <w:szCs w:val="13"/>
              </w:rPr>
              <w:t>t specifically address net-zero targets.</w:t>
            </w:r>
          </w:p>
        </w:tc>
        <w:tc>
          <w:tcPr>
            <w:tcW w:w="1125" w:type="dxa"/>
          </w:tcPr>
          <w:p w14:paraId="3A8347CF" w14:textId="0AAEE339" w:rsidR="00052B3F" w:rsidRPr="00BA7EB3" w:rsidRDefault="00052B3F" w:rsidP="00BA7EB3">
            <w:pPr>
              <w:rPr>
                <w:rFonts w:cs="Times New Roman"/>
                <w:sz w:val="13"/>
                <w:szCs w:val="13"/>
              </w:rPr>
            </w:pPr>
            <w:r w:rsidRPr="00BA7EB3">
              <w:rPr>
                <w:rFonts w:cs="Times New Roman"/>
                <w:color w:val="000000"/>
                <w:sz w:val="13"/>
                <w:szCs w:val="13"/>
              </w:rPr>
              <w:t>Doesn</w:t>
            </w:r>
            <w:r w:rsidR="00027B17">
              <w:rPr>
                <w:rFonts w:cs="Times New Roman"/>
                <w:color w:val="000000"/>
                <w:sz w:val="13"/>
                <w:szCs w:val="13"/>
              </w:rPr>
              <w:t>’</w:t>
            </w:r>
            <w:r w:rsidRPr="00BA7EB3">
              <w:rPr>
                <w:rFonts w:cs="Times New Roman"/>
                <w:color w:val="000000"/>
                <w:sz w:val="13"/>
                <w:szCs w:val="13"/>
              </w:rPr>
              <w:t>t explicitly address embodied carbon.</w:t>
            </w:r>
          </w:p>
        </w:tc>
        <w:tc>
          <w:tcPr>
            <w:tcW w:w="1259" w:type="dxa"/>
          </w:tcPr>
          <w:p w14:paraId="596692BC" w14:textId="77777777" w:rsidR="00052B3F" w:rsidRPr="00BA7EB3" w:rsidRDefault="00052B3F" w:rsidP="00BA7EB3">
            <w:pPr>
              <w:rPr>
                <w:rFonts w:cs="Times New Roman"/>
                <w:sz w:val="13"/>
                <w:szCs w:val="13"/>
              </w:rPr>
            </w:pPr>
            <w:r w:rsidRPr="00BA7EB3">
              <w:rPr>
                <w:rFonts w:cs="Times New Roman"/>
                <w:color w:val="000000"/>
                <w:sz w:val="13"/>
                <w:szCs w:val="13"/>
              </w:rPr>
              <w:t>Includes stormwater management assessment.</w:t>
            </w:r>
          </w:p>
        </w:tc>
        <w:tc>
          <w:tcPr>
            <w:tcW w:w="1140" w:type="dxa"/>
          </w:tcPr>
          <w:p w14:paraId="4F181B86" w14:textId="77777777" w:rsidR="00052B3F" w:rsidRPr="00BA7EB3" w:rsidRDefault="00052B3F" w:rsidP="00BA7EB3">
            <w:pPr>
              <w:rPr>
                <w:rFonts w:cs="Times New Roman"/>
                <w:sz w:val="13"/>
                <w:szCs w:val="13"/>
              </w:rPr>
            </w:pPr>
            <w:r w:rsidRPr="00BA7EB3">
              <w:rPr>
                <w:rFonts w:cs="Times New Roman"/>
                <w:color w:val="000000"/>
                <w:sz w:val="13"/>
                <w:szCs w:val="13"/>
              </w:rPr>
              <w:t>Specifically designed for existing buildings.</w:t>
            </w:r>
          </w:p>
        </w:tc>
        <w:tc>
          <w:tcPr>
            <w:tcW w:w="1010" w:type="dxa"/>
          </w:tcPr>
          <w:p w14:paraId="6AE4CCBA" w14:textId="77777777" w:rsidR="00052B3F" w:rsidRPr="00BA7EB3" w:rsidRDefault="00052B3F" w:rsidP="00BA7EB3">
            <w:pPr>
              <w:rPr>
                <w:rFonts w:cs="Times New Roman"/>
                <w:sz w:val="13"/>
                <w:szCs w:val="13"/>
              </w:rPr>
            </w:pPr>
            <w:r w:rsidRPr="00BA7EB3">
              <w:rPr>
                <w:rFonts w:cs="Times New Roman"/>
                <w:color w:val="000000"/>
                <w:sz w:val="13"/>
                <w:szCs w:val="13"/>
              </w:rPr>
              <w:t>Applicable across various contexts.</w:t>
            </w:r>
          </w:p>
        </w:tc>
      </w:tr>
      <w:tr w:rsidR="00BA7EB3" w:rsidRPr="00BA7EB3" w14:paraId="2CD08E32" w14:textId="77777777" w:rsidTr="00BA7EB3">
        <w:trPr>
          <w:cantSplit/>
          <w:trHeight w:val="1134"/>
        </w:trPr>
        <w:tc>
          <w:tcPr>
            <w:tcW w:w="947" w:type="dxa"/>
          </w:tcPr>
          <w:p w14:paraId="1469832F" w14:textId="77777777" w:rsidR="00052B3F" w:rsidRPr="00BA7EB3" w:rsidRDefault="00052B3F" w:rsidP="00BA7EB3">
            <w:pPr>
              <w:rPr>
                <w:rFonts w:cs="Times New Roman"/>
                <w:sz w:val="13"/>
                <w:szCs w:val="13"/>
              </w:rPr>
            </w:pPr>
            <w:r w:rsidRPr="00BA7EB3">
              <w:rPr>
                <w:rFonts w:cs="Times New Roman"/>
                <w:b/>
                <w:bCs/>
                <w:color w:val="000000"/>
                <w:sz w:val="13"/>
                <w:szCs w:val="13"/>
              </w:rPr>
              <w:t>Toronto Green Standard (TGS)</w:t>
            </w:r>
          </w:p>
        </w:tc>
        <w:tc>
          <w:tcPr>
            <w:tcW w:w="1176" w:type="dxa"/>
          </w:tcPr>
          <w:p w14:paraId="2EDA503B" w14:textId="799E3E72" w:rsidR="00052B3F" w:rsidRPr="00BA7EB3" w:rsidRDefault="00052B3F" w:rsidP="00BA7EB3">
            <w:pPr>
              <w:rPr>
                <w:rFonts w:cs="Times New Roman"/>
                <w:sz w:val="13"/>
                <w:szCs w:val="13"/>
              </w:rPr>
            </w:pPr>
            <w:r w:rsidRPr="00BA7EB3">
              <w:rPr>
                <w:rFonts w:cs="Times New Roman"/>
                <w:color w:val="000000"/>
                <w:sz w:val="13"/>
                <w:szCs w:val="13"/>
              </w:rPr>
              <w:t>Tailored to Toronto</w:t>
            </w:r>
            <w:r w:rsidR="00027B17">
              <w:rPr>
                <w:rFonts w:cs="Times New Roman"/>
                <w:color w:val="000000"/>
                <w:sz w:val="13"/>
                <w:szCs w:val="13"/>
              </w:rPr>
              <w:t>’</w:t>
            </w:r>
            <w:r w:rsidRPr="00BA7EB3">
              <w:rPr>
                <w:rFonts w:cs="Times New Roman"/>
                <w:color w:val="000000"/>
                <w:sz w:val="13"/>
                <w:szCs w:val="13"/>
              </w:rPr>
              <w:t>s context, addressing multiple environmental performance areas.</w:t>
            </w:r>
          </w:p>
        </w:tc>
        <w:tc>
          <w:tcPr>
            <w:tcW w:w="1274" w:type="dxa"/>
          </w:tcPr>
          <w:p w14:paraId="0844BD15" w14:textId="0AF6213E" w:rsidR="00052B3F" w:rsidRPr="00BA7EB3" w:rsidRDefault="00052B3F" w:rsidP="00BA7EB3">
            <w:pPr>
              <w:rPr>
                <w:rFonts w:cs="Times New Roman"/>
                <w:sz w:val="13"/>
                <w:szCs w:val="13"/>
              </w:rPr>
            </w:pPr>
            <w:r w:rsidRPr="00BA7EB3">
              <w:rPr>
                <w:rFonts w:cs="Times New Roman"/>
                <w:color w:val="000000"/>
                <w:sz w:val="13"/>
                <w:szCs w:val="13"/>
              </w:rPr>
              <w:t>Tiered system with mandatory Tier 1 and voluntary higher tiers</w:t>
            </w:r>
            <w:r w:rsidR="00246EAD" w:rsidRPr="00BA7EB3">
              <w:rPr>
                <w:rFonts w:cs="Times New Roman"/>
                <w:color w:val="000000"/>
                <w:sz w:val="13"/>
                <w:szCs w:val="13"/>
              </w:rPr>
              <w:t xml:space="preserve"> (1—4)</w:t>
            </w:r>
            <w:r w:rsidRPr="00BA7EB3">
              <w:rPr>
                <w:rFonts w:cs="Times New Roman"/>
                <w:color w:val="000000"/>
                <w:sz w:val="13"/>
                <w:szCs w:val="13"/>
              </w:rPr>
              <w:t>.</w:t>
            </w:r>
          </w:p>
        </w:tc>
        <w:tc>
          <w:tcPr>
            <w:tcW w:w="1014" w:type="dxa"/>
          </w:tcPr>
          <w:p w14:paraId="50167358" w14:textId="77777777" w:rsidR="00052B3F" w:rsidRPr="00BA7EB3" w:rsidRDefault="00052B3F" w:rsidP="00BA7EB3">
            <w:pPr>
              <w:rPr>
                <w:rFonts w:cs="Times New Roman"/>
                <w:sz w:val="13"/>
                <w:szCs w:val="13"/>
              </w:rPr>
            </w:pPr>
            <w:r w:rsidRPr="00BA7EB3">
              <w:rPr>
                <w:rFonts w:cs="Times New Roman"/>
                <w:color w:val="000000"/>
                <w:sz w:val="13"/>
                <w:szCs w:val="13"/>
              </w:rPr>
              <w:t>Sets specific energy performance targets that become more stringent with higher tiers.</w:t>
            </w:r>
          </w:p>
        </w:tc>
        <w:tc>
          <w:tcPr>
            <w:tcW w:w="1125" w:type="dxa"/>
          </w:tcPr>
          <w:p w14:paraId="0853D0F6" w14:textId="77777777" w:rsidR="00052B3F" w:rsidRPr="00BA7EB3" w:rsidRDefault="00052B3F" w:rsidP="00BA7EB3">
            <w:pPr>
              <w:rPr>
                <w:rFonts w:cs="Times New Roman"/>
                <w:sz w:val="13"/>
                <w:szCs w:val="13"/>
              </w:rPr>
            </w:pPr>
            <w:r w:rsidRPr="00BA7EB3">
              <w:rPr>
                <w:rFonts w:cs="Times New Roman"/>
                <w:color w:val="000000"/>
                <w:sz w:val="13"/>
                <w:szCs w:val="13"/>
              </w:rPr>
              <w:t>Incorporates net-zero goals in higher tiers.</w:t>
            </w:r>
          </w:p>
        </w:tc>
        <w:tc>
          <w:tcPr>
            <w:tcW w:w="1125" w:type="dxa"/>
          </w:tcPr>
          <w:p w14:paraId="1284269E" w14:textId="77777777" w:rsidR="00052B3F" w:rsidRPr="00BA7EB3" w:rsidRDefault="00052B3F" w:rsidP="00BA7EB3">
            <w:pPr>
              <w:rPr>
                <w:rFonts w:cs="Times New Roman"/>
                <w:sz w:val="13"/>
                <w:szCs w:val="13"/>
              </w:rPr>
            </w:pPr>
            <w:r w:rsidRPr="00BA7EB3">
              <w:rPr>
                <w:rFonts w:cs="Times New Roman"/>
                <w:color w:val="000000"/>
                <w:sz w:val="13"/>
                <w:szCs w:val="13"/>
              </w:rPr>
              <w:t>Addresses embodied carbon indirectly through sustainable materials and waste reduction requirements.</w:t>
            </w:r>
          </w:p>
        </w:tc>
        <w:tc>
          <w:tcPr>
            <w:tcW w:w="1259" w:type="dxa"/>
          </w:tcPr>
          <w:p w14:paraId="72CA262E" w14:textId="77777777" w:rsidR="00052B3F" w:rsidRPr="00BA7EB3" w:rsidRDefault="00052B3F" w:rsidP="00BA7EB3">
            <w:pPr>
              <w:rPr>
                <w:rFonts w:cs="Times New Roman"/>
                <w:sz w:val="13"/>
                <w:szCs w:val="13"/>
              </w:rPr>
            </w:pPr>
            <w:r w:rsidRPr="00BA7EB3">
              <w:rPr>
                <w:rFonts w:cs="Times New Roman"/>
                <w:color w:val="000000"/>
                <w:sz w:val="13"/>
                <w:szCs w:val="13"/>
              </w:rPr>
              <w:t>Comprehensive approach, including water balance, water quality, water quantity, green infrastructure, and integration with Green Streets.</w:t>
            </w:r>
          </w:p>
        </w:tc>
        <w:tc>
          <w:tcPr>
            <w:tcW w:w="1140" w:type="dxa"/>
          </w:tcPr>
          <w:p w14:paraId="5027A80C" w14:textId="77777777" w:rsidR="00052B3F" w:rsidRPr="00BA7EB3" w:rsidRDefault="00052B3F" w:rsidP="00BA7EB3">
            <w:pPr>
              <w:rPr>
                <w:rFonts w:cs="Times New Roman"/>
                <w:sz w:val="13"/>
                <w:szCs w:val="13"/>
              </w:rPr>
            </w:pPr>
            <w:r w:rsidRPr="00BA7EB3">
              <w:rPr>
                <w:rFonts w:cs="Times New Roman"/>
                <w:color w:val="000000"/>
                <w:sz w:val="13"/>
                <w:szCs w:val="13"/>
              </w:rPr>
              <w:t>Primarily focuses on new developments but provides guidelines for existing building renovations.</w:t>
            </w:r>
          </w:p>
        </w:tc>
        <w:tc>
          <w:tcPr>
            <w:tcW w:w="1010" w:type="dxa"/>
          </w:tcPr>
          <w:p w14:paraId="1C66BF96" w14:textId="7F294EA9" w:rsidR="00052B3F" w:rsidRPr="00BA7EB3" w:rsidRDefault="00052B3F" w:rsidP="00BA7EB3">
            <w:pPr>
              <w:keepNext/>
              <w:rPr>
                <w:rFonts w:cs="Times New Roman"/>
                <w:sz w:val="13"/>
                <w:szCs w:val="13"/>
              </w:rPr>
            </w:pPr>
            <w:r w:rsidRPr="00BA7EB3">
              <w:rPr>
                <w:rFonts w:cs="Times New Roman"/>
                <w:color w:val="000000"/>
                <w:sz w:val="13"/>
                <w:szCs w:val="13"/>
              </w:rPr>
              <w:t>Specifically designed for Toronto</w:t>
            </w:r>
            <w:r w:rsidR="00027B17">
              <w:rPr>
                <w:rFonts w:cs="Times New Roman"/>
                <w:color w:val="000000"/>
                <w:sz w:val="13"/>
                <w:szCs w:val="13"/>
              </w:rPr>
              <w:t>’</w:t>
            </w:r>
            <w:r w:rsidRPr="00BA7EB3">
              <w:rPr>
                <w:rFonts w:cs="Times New Roman"/>
                <w:color w:val="000000"/>
                <w:sz w:val="13"/>
                <w:szCs w:val="13"/>
              </w:rPr>
              <w:t>s context.</w:t>
            </w:r>
          </w:p>
        </w:tc>
      </w:tr>
    </w:tbl>
    <w:p w14:paraId="57EBF08D" w14:textId="77777777" w:rsidR="00052B3F" w:rsidRPr="00D06382" w:rsidRDefault="00052B3F" w:rsidP="00052B3F">
      <w:pPr>
        <w:rPr>
          <w:rFonts w:cs="Times New Roman"/>
        </w:rPr>
      </w:pPr>
    </w:p>
    <w:p w14:paraId="117829A4" w14:textId="77777777" w:rsidR="00052B3F" w:rsidRPr="00B31D26" w:rsidRDefault="00052B3F" w:rsidP="00B31D26">
      <w:pPr>
        <w:pStyle w:val="Heading2"/>
      </w:pPr>
      <w:bookmarkStart w:id="31" w:name="_Toc202742996"/>
      <w:r w:rsidRPr="00B31D26">
        <w:t>Scope and Focus</w:t>
      </w:r>
      <w:bookmarkEnd w:id="31"/>
    </w:p>
    <w:p w14:paraId="06AF5084" w14:textId="2E18DEC4" w:rsidR="00052B3F" w:rsidRPr="00D06382" w:rsidRDefault="00052B3F" w:rsidP="00052B3F">
      <w:pPr>
        <w:jc w:val="both"/>
        <w:rPr>
          <w:rFonts w:cs="Times New Roman"/>
        </w:rPr>
      </w:pPr>
      <w:r w:rsidRPr="00D06382">
        <w:rPr>
          <w:rFonts w:cs="Times New Roman"/>
        </w:rPr>
        <w:t>LEED offers the broadest scope among the standards, covering various aspects of sustainability across different building types and project phases. It evaluates buildings across several categories, including energy efficiency, water usage, material selection, and indoor environmental quality (USGBC, 2024). This comprehensive approach allows for a holistic assessment of a building</w:t>
      </w:r>
      <w:r w:rsidR="00027B17">
        <w:rPr>
          <w:rFonts w:cs="Times New Roman"/>
        </w:rPr>
        <w:t>’</w:t>
      </w:r>
      <w:r w:rsidRPr="00D06382">
        <w:rPr>
          <w:rFonts w:cs="Times New Roman"/>
        </w:rPr>
        <w:t>s environmental impact.</w:t>
      </w:r>
    </w:p>
    <w:p w14:paraId="28D2EAC0" w14:textId="14FB043B" w:rsidR="00052B3F" w:rsidRPr="00D06382" w:rsidRDefault="00052B3F" w:rsidP="00052B3F">
      <w:pPr>
        <w:jc w:val="both"/>
        <w:rPr>
          <w:rFonts w:cs="Times New Roman"/>
        </w:rPr>
      </w:pPr>
      <w:r w:rsidRPr="00D06382">
        <w:rPr>
          <w:rFonts w:cs="Times New Roman"/>
        </w:rPr>
        <w:t>The CAGBC Zero Carbon Building Standard narrows its focus specifically to carbon emissions, addressing both operational and embodied carbon (CAGBC, 2024). This targeted approach aligns with the urgent need to address climate change through building decarbonization.</w:t>
      </w:r>
    </w:p>
    <w:p w14:paraId="0051F9E1" w14:textId="7CDE1802" w:rsidR="00052B3F" w:rsidRPr="00D06382" w:rsidRDefault="00052B3F" w:rsidP="00052B3F">
      <w:pPr>
        <w:jc w:val="both"/>
        <w:rPr>
          <w:rFonts w:cs="Times New Roman"/>
        </w:rPr>
      </w:pPr>
      <w:r w:rsidRPr="00D06382">
        <w:rPr>
          <w:rFonts w:cs="Times New Roman"/>
        </w:rPr>
        <w:t>Passive House concentrates intensely on energy efficiency and thermal performance, with stringent requirements for heating, cooling, and overall energy demand (Passive House Institute, 2024). This standard is particularly effective in achieving ultra-low energy buildings.</w:t>
      </w:r>
    </w:p>
    <w:p w14:paraId="689E4B54" w14:textId="504F4843" w:rsidR="00052B3F" w:rsidRPr="00D06382" w:rsidRDefault="00052B3F" w:rsidP="00052B3F">
      <w:pPr>
        <w:jc w:val="both"/>
        <w:rPr>
          <w:rFonts w:cs="Times New Roman"/>
        </w:rPr>
      </w:pPr>
      <w:r w:rsidRPr="00D06382">
        <w:rPr>
          <w:rFonts w:cs="Times New Roman"/>
        </w:rPr>
        <w:t>BOMA BEST is unique among these standards in its exclusive focus on existing buildings and their ongoing operations. It covers various environmental aspects but strongly emphasizes continuous improvement in building management practices (BOMA Canada, 2024).</w:t>
      </w:r>
    </w:p>
    <w:p w14:paraId="32A57074" w14:textId="640D4C75" w:rsidR="00052B3F" w:rsidRPr="00D06382" w:rsidRDefault="00052B3F" w:rsidP="00052B3F">
      <w:pPr>
        <w:jc w:val="both"/>
        <w:rPr>
          <w:rFonts w:cs="Times New Roman"/>
        </w:rPr>
      </w:pPr>
      <w:r w:rsidRPr="00D06382">
        <w:rPr>
          <w:rFonts w:cs="Times New Roman"/>
        </w:rPr>
        <w:lastRenderedPageBreak/>
        <w:t>The Toronto Green Standard (TGS) takes a tiered approach, addressing multiple environmental performance areas, including air quality, energy efficiency and emissions, water quality and efficiency, ecology, and solid waste (City of Toronto, 2022a). As a municipal standard, it is specifically tailored to the Toronto context and climate, with mandatory requirements for new developments and voluntary higher tiers.</w:t>
      </w:r>
    </w:p>
    <w:p w14:paraId="0FD7DEA5" w14:textId="77777777" w:rsidR="00052B3F" w:rsidRPr="00B31D26" w:rsidRDefault="00052B3F" w:rsidP="00B31D26">
      <w:pPr>
        <w:pStyle w:val="Heading2"/>
      </w:pPr>
      <w:bookmarkStart w:id="32" w:name="_Toc202742997"/>
      <w:r w:rsidRPr="00B31D26">
        <w:t>Certification Approach</w:t>
      </w:r>
      <w:bookmarkEnd w:id="32"/>
    </w:p>
    <w:p w14:paraId="79E48368" w14:textId="01D155AD" w:rsidR="00052B3F" w:rsidRPr="00D06382" w:rsidRDefault="00052B3F" w:rsidP="00052B3F">
      <w:pPr>
        <w:jc w:val="both"/>
        <w:rPr>
          <w:rFonts w:cs="Times New Roman"/>
        </w:rPr>
      </w:pPr>
      <w:r w:rsidRPr="00D06382">
        <w:rPr>
          <w:rFonts w:cs="Times New Roman"/>
        </w:rPr>
        <w:t>LEED employs a points-based system with multiple certification levels (Certified, Silver, Gold, Platinum), allowing flexibility in how projects achieve certification (USGBC, 2024). This approach enables projects to tailor their sustainability strategies to their specific context and priorities.</w:t>
      </w:r>
    </w:p>
    <w:p w14:paraId="58983415" w14:textId="6F4BF6FD" w:rsidR="00052B3F" w:rsidRPr="00D06382" w:rsidRDefault="00052B3F" w:rsidP="00052B3F">
      <w:pPr>
        <w:jc w:val="both"/>
        <w:rPr>
          <w:rFonts w:cs="Times New Roman"/>
        </w:rPr>
      </w:pPr>
      <w:r w:rsidRPr="00D06382">
        <w:rPr>
          <w:rFonts w:cs="Times New Roman"/>
        </w:rPr>
        <w:t>The CAGBC Zero Carbon Building Standard offers a binary certification (certified or not) with two distinct paths: Design and Performance. This allows for recognition of both the design intent and actual operational performance (CAGBC, 2024).</w:t>
      </w:r>
    </w:p>
    <w:p w14:paraId="0D2B3C0C" w14:textId="0C941207" w:rsidR="00052B3F" w:rsidRPr="00D06382" w:rsidRDefault="00052B3F" w:rsidP="00052B3F">
      <w:pPr>
        <w:jc w:val="both"/>
        <w:rPr>
          <w:rFonts w:cs="Times New Roman"/>
        </w:rPr>
      </w:pPr>
      <w:r w:rsidRPr="00D06382">
        <w:rPr>
          <w:rFonts w:cs="Times New Roman"/>
        </w:rPr>
        <w:t>Passive House sets very specific performance targets with three certification levels (Classic, Plus, Premium), focusing primarily on energy performance metrics (Passive House Institute, 2024). This approach ensures a high level of consistency in energy efficiency outcomes.</w:t>
      </w:r>
    </w:p>
    <w:p w14:paraId="1FDEDC02" w14:textId="2784484C" w:rsidR="00052B3F" w:rsidRPr="00D06382" w:rsidRDefault="00052B3F" w:rsidP="00052B3F">
      <w:pPr>
        <w:jc w:val="both"/>
        <w:rPr>
          <w:rFonts w:cs="Times New Roman"/>
        </w:rPr>
      </w:pPr>
      <w:r w:rsidRPr="00D06382">
        <w:rPr>
          <w:rFonts w:cs="Times New Roman"/>
        </w:rPr>
        <w:t>BOMA BEST uses a percentage-based scoring system with five certification levels (Certified, Bronze, Silver, Gold, Platinum), similar to LEED but specifically for existing buildings (BOMA Canada, 2024). This allows for the recognition of varying levels of sustainable building management practices.</w:t>
      </w:r>
    </w:p>
    <w:p w14:paraId="0FAFF301" w14:textId="369BC30E" w:rsidR="00052B3F" w:rsidRPr="00D06382" w:rsidRDefault="00052B3F" w:rsidP="00052B3F">
      <w:pPr>
        <w:jc w:val="both"/>
        <w:rPr>
          <w:rFonts w:cs="Times New Roman"/>
        </w:rPr>
      </w:pPr>
      <w:r w:rsidRPr="00D06382">
        <w:rPr>
          <w:rFonts w:cs="Times New Roman"/>
        </w:rPr>
        <w:t>The TGS operates on a unique tiered system, with Tier 1 being mandatory for all new developments and higher tiers (2-4) being voluntary but incentivized. This approach allows the City of Toronto to set a baseline for sustainability while encouraging higher performance through financial incentives (City of Toronto, 2022b).</w:t>
      </w:r>
    </w:p>
    <w:p w14:paraId="6C0A2F00" w14:textId="77777777" w:rsidR="00052B3F" w:rsidRPr="00B31D26" w:rsidRDefault="00052B3F" w:rsidP="00B31D26">
      <w:pPr>
        <w:pStyle w:val="Heading2"/>
      </w:pPr>
      <w:bookmarkStart w:id="33" w:name="_Toc202742998"/>
      <w:r w:rsidRPr="00B31D26">
        <w:t>Energy Efficiency Requirements</w:t>
      </w:r>
      <w:bookmarkEnd w:id="33"/>
    </w:p>
    <w:p w14:paraId="416C3E18" w14:textId="20C2E3B4" w:rsidR="00052B3F" w:rsidRPr="00D06382" w:rsidRDefault="00052B3F" w:rsidP="00052B3F">
      <w:pPr>
        <w:jc w:val="both"/>
        <w:rPr>
          <w:rFonts w:cs="Times New Roman"/>
        </w:rPr>
      </w:pPr>
      <w:r w:rsidRPr="00D06382">
        <w:rPr>
          <w:rFonts w:cs="Times New Roman"/>
        </w:rPr>
        <w:t>Passive House sets the most stringent energy efficiency requirements among these standards, with specific targets for heating and cooling demand (≤15 kWh/m²/year) and primary energy demand (≤120 kWh/m²/year) (Passive House Institute, 2024). These rigorous requirements often result in buildings that significantly outperform typical energy codes.</w:t>
      </w:r>
    </w:p>
    <w:p w14:paraId="693509DB" w14:textId="414D6163" w:rsidR="00052B3F" w:rsidRPr="00D06382" w:rsidRDefault="00052B3F" w:rsidP="00052B3F">
      <w:pPr>
        <w:jc w:val="both"/>
        <w:rPr>
          <w:rFonts w:cs="Times New Roman"/>
        </w:rPr>
      </w:pPr>
      <w:r w:rsidRPr="00D06382">
        <w:rPr>
          <w:rFonts w:cs="Times New Roman"/>
        </w:rPr>
        <w:t>LEED and BOMA BEST use a more flexible approach, offering points or credits for various energy efficiency measures without setting absolute performance targets. LEED</w:t>
      </w:r>
      <w:r w:rsidR="00027B17">
        <w:rPr>
          <w:rFonts w:cs="Times New Roman"/>
        </w:rPr>
        <w:t>’</w:t>
      </w:r>
      <w:r w:rsidRPr="00D06382">
        <w:rPr>
          <w:rFonts w:cs="Times New Roman"/>
        </w:rPr>
        <w:t xml:space="preserve">s </w:t>
      </w:r>
      <w:r w:rsidR="00027B17">
        <w:rPr>
          <w:rFonts w:cs="Times New Roman"/>
        </w:rPr>
        <w:t>‘</w:t>
      </w:r>
      <w:r w:rsidRPr="00D06382">
        <w:rPr>
          <w:rFonts w:cs="Times New Roman"/>
        </w:rPr>
        <w:t>Energy and Atmosphere</w:t>
      </w:r>
      <w:r w:rsidR="00027B17">
        <w:rPr>
          <w:rFonts w:cs="Times New Roman"/>
        </w:rPr>
        <w:t>’</w:t>
      </w:r>
      <w:r w:rsidRPr="00D06382">
        <w:rPr>
          <w:rFonts w:cs="Times New Roman"/>
        </w:rPr>
        <w:t xml:space="preserve"> category accounts for up to 33 points, the highest among all categories (USGBC, 2024). This flexibility allows projects to tailor their energy strategies to their specific context.</w:t>
      </w:r>
    </w:p>
    <w:p w14:paraId="3C2781AD" w14:textId="0830FD38" w:rsidR="00052B3F" w:rsidRPr="00D06382" w:rsidRDefault="00052B3F" w:rsidP="00052B3F">
      <w:pPr>
        <w:jc w:val="both"/>
        <w:rPr>
          <w:rFonts w:cs="Times New Roman"/>
        </w:rPr>
      </w:pPr>
      <w:r w:rsidRPr="00D06382">
        <w:rPr>
          <w:rFonts w:cs="Times New Roman"/>
        </w:rPr>
        <w:t xml:space="preserve">The CAGBC Zero Carbon Building Standard sets energy efficiency targets as part of its overall carbon reduction strategy, with minimum energy performance targets based on building type </w:t>
      </w:r>
      <w:r w:rsidRPr="00D06382">
        <w:rPr>
          <w:rFonts w:cs="Times New Roman"/>
        </w:rPr>
        <w:lastRenderedPageBreak/>
        <w:t>and climate zone (CAGBC, 2024). This approach directly links energy efficiency to carbon emissions reduction.</w:t>
      </w:r>
    </w:p>
    <w:p w14:paraId="5AD48BC9" w14:textId="67DA6108" w:rsidR="00052B3F" w:rsidRPr="00D06382" w:rsidRDefault="00052B3F" w:rsidP="00052B3F">
      <w:pPr>
        <w:jc w:val="both"/>
        <w:rPr>
          <w:rFonts w:cs="Times New Roman"/>
        </w:rPr>
      </w:pPr>
      <w:r w:rsidRPr="00D06382">
        <w:rPr>
          <w:rFonts w:cs="Times New Roman"/>
        </w:rPr>
        <w:t>The TGS sets specific energy performance targets that become more stringent with higher tiers. For example, Tier 1 requires a Total Energy Use Intensity (TEUI) of 170 kWh/m²/year for mid to high-rise residential buildings, while Tier 4 requires a TEUI of 100 kWh/m²/year (City of Toronto, 2022c). This tiered approach allows for a gradual improvement in energy performance across the building sector.</w:t>
      </w:r>
    </w:p>
    <w:p w14:paraId="27037FCE" w14:textId="77777777" w:rsidR="00052B3F" w:rsidRPr="00B31D26" w:rsidRDefault="00052B3F" w:rsidP="00B31D26">
      <w:pPr>
        <w:pStyle w:val="Heading2"/>
      </w:pPr>
      <w:bookmarkStart w:id="34" w:name="_Toc202742999"/>
      <w:r w:rsidRPr="00B31D26">
        <w:t>Net Zero Approach</w:t>
      </w:r>
      <w:bookmarkEnd w:id="34"/>
    </w:p>
    <w:p w14:paraId="6956ED04" w14:textId="2C6904A8" w:rsidR="00052B3F" w:rsidRPr="00D06382" w:rsidRDefault="00052B3F" w:rsidP="00052B3F">
      <w:pPr>
        <w:jc w:val="both"/>
        <w:rPr>
          <w:rFonts w:cs="Times New Roman"/>
        </w:rPr>
      </w:pPr>
      <w:r w:rsidRPr="00D06382">
        <w:rPr>
          <w:rFonts w:cs="Times New Roman"/>
        </w:rPr>
        <w:t>The CAGBC Zero Carbon Building Standard is the only one of these five that explicitly requires net zero carbon performance. It mandates that buildings achieve a zero-carbon balance annually, offsetting any emissions that cannot be eliminated through efficiency measures or on-site renewables (CAGBC, 2024).</w:t>
      </w:r>
    </w:p>
    <w:p w14:paraId="277BDA6C" w14:textId="1F9B06C6" w:rsidR="00052B3F" w:rsidRPr="00D06382" w:rsidRDefault="00052B3F" w:rsidP="00052B3F">
      <w:pPr>
        <w:jc w:val="both"/>
        <w:rPr>
          <w:rFonts w:cs="Times New Roman"/>
        </w:rPr>
      </w:pPr>
      <w:r w:rsidRPr="00D06382">
        <w:rPr>
          <w:rFonts w:cs="Times New Roman"/>
        </w:rPr>
        <w:t>Passive House, particularly at the Plus and Premium levels, approaches net zero energy performance through its stringent energy efficiency requirements and incorporation of renewable energy generation (Passive House Institute, 2023).</w:t>
      </w:r>
    </w:p>
    <w:p w14:paraId="58700D1A" w14:textId="18FA2B91" w:rsidR="00052B3F" w:rsidRPr="00D06382" w:rsidRDefault="00052B3F" w:rsidP="00052B3F">
      <w:pPr>
        <w:jc w:val="both"/>
        <w:rPr>
          <w:rFonts w:cs="Times New Roman"/>
        </w:rPr>
      </w:pPr>
      <w:r w:rsidRPr="00D06382">
        <w:rPr>
          <w:rFonts w:cs="Times New Roman"/>
        </w:rPr>
        <w:t>LEED provides a framework that can support net-zero goals but doesn</w:t>
      </w:r>
      <w:r w:rsidR="00027B17">
        <w:rPr>
          <w:rFonts w:cs="Times New Roman"/>
        </w:rPr>
        <w:t>’</w:t>
      </w:r>
      <w:r w:rsidRPr="00D06382">
        <w:rPr>
          <w:rFonts w:cs="Times New Roman"/>
        </w:rPr>
        <w:t xml:space="preserve">t require them for certification. The </w:t>
      </w:r>
      <w:r w:rsidR="00027B17">
        <w:rPr>
          <w:rFonts w:cs="Times New Roman"/>
        </w:rPr>
        <w:t>‘</w:t>
      </w:r>
      <w:r w:rsidRPr="00D06382">
        <w:rPr>
          <w:rFonts w:cs="Times New Roman"/>
        </w:rPr>
        <w:t>Zero Energy Performance Index</w:t>
      </w:r>
      <w:r w:rsidR="00027B17">
        <w:rPr>
          <w:rFonts w:cs="Times New Roman"/>
        </w:rPr>
        <w:t>’</w:t>
      </w:r>
      <w:r w:rsidRPr="00D06382">
        <w:rPr>
          <w:rFonts w:cs="Times New Roman"/>
        </w:rPr>
        <w:t xml:space="preserve"> pilot credit rewards projects that achieve net zero energy performance (USGBC, 2024).</w:t>
      </w:r>
    </w:p>
    <w:p w14:paraId="4A4DEC5A" w14:textId="79D93762" w:rsidR="00052B3F" w:rsidRPr="00D06382" w:rsidRDefault="00052B3F" w:rsidP="00052B3F">
      <w:pPr>
        <w:jc w:val="both"/>
        <w:rPr>
          <w:rFonts w:cs="Times New Roman"/>
        </w:rPr>
      </w:pPr>
      <w:r w:rsidRPr="00D06382">
        <w:rPr>
          <w:rFonts w:cs="Times New Roman"/>
        </w:rPr>
        <w:t>BOMA BEST encourages energy efficiency improvements but doesn</w:t>
      </w:r>
      <w:r w:rsidR="00027B17">
        <w:rPr>
          <w:rFonts w:cs="Times New Roman"/>
        </w:rPr>
        <w:t>’</w:t>
      </w:r>
      <w:r w:rsidRPr="00D06382">
        <w:rPr>
          <w:rFonts w:cs="Times New Roman"/>
        </w:rPr>
        <w:t>t specifically address net-zero targets in its core requirements (BOMA Canada, 2024).</w:t>
      </w:r>
    </w:p>
    <w:p w14:paraId="51B822B9" w14:textId="707BA0D5" w:rsidR="00052B3F" w:rsidRPr="00D06382" w:rsidRDefault="00052B3F" w:rsidP="00052B3F">
      <w:pPr>
        <w:jc w:val="both"/>
        <w:rPr>
          <w:rFonts w:cs="Times New Roman"/>
        </w:rPr>
      </w:pPr>
      <w:r w:rsidRPr="00D06382">
        <w:rPr>
          <w:rFonts w:cs="Times New Roman"/>
        </w:rPr>
        <w:t>The TGS incorporates net zero goals in its higher tiers, with Tier 4 strongly approaching near-zero emissions. For example, Tier 4 requires a Greenhouse Gas Intensity (GHGI) of 5 kg/m²/year for mid to high-rise residential buildings, compared to 20 kg/m²/year for Tier 1 (City of Toronto, 2022c).</w:t>
      </w:r>
    </w:p>
    <w:p w14:paraId="2018E5C8" w14:textId="77777777" w:rsidR="00052B3F" w:rsidRPr="00B31D26" w:rsidRDefault="00052B3F" w:rsidP="00B31D26">
      <w:pPr>
        <w:pStyle w:val="Heading2"/>
      </w:pPr>
      <w:bookmarkStart w:id="35" w:name="_Toc202743000"/>
      <w:r w:rsidRPr="00B31D26">
        <w:t>Embodied Carbon</w:t>
      </w:r>
      <w:bookmarkEnd w:id="35"/>
    </w:p>
    <w:p w14:paraId="3FAE67E7" w14:textId="3FC9665E" w:rsidR="00052B3F" w:rsidRPr="00D06382" w:rsidRDefault="00052B3F" w:rsidP="00052B3F">
      <w:pPr>
        <w:jc w:val="both"/>
        <w:rPr>
          <w:rFonts w:cs="Times New Roman"/>
        </w:rPr>
      </w:pPr>
      <w:r w:rsidRPr="00D06382">
        <w:rPr>
          <w:rFonts w:cs="Times New Roman"/>
        </w:rPr>
        <w:t>The CAGBC Zero Carbon Building Standard places significant emphasis on embodied carbon, requiring life-cycle assessment of structural and envelope materials (CAGBC, 2024). This comprehensive approach addresses the full carbon impact of buildings over their lifecycle.</w:t>
      </w:r>
    </w:p>
    <w:p w14:paraId="20D4D92B" w14:textId="77777777" w:rsidR="00052B3F" w:rsidRPr="00D06382" w:rsidRDefault="00052B3F" w:rsidP="00052B3F">
      <w:pPr>
        <w:jc w:val="both"/>
        <w:rPr>
          <w:rFonts w:cs="Times New Roman"/>
        </w:rPr>
      </w:pPr>
      <w:r w:rsidRPr="00D06382">
        <w:rPr>
          <w:rFonts w:cs="Times New Roman"/>
        </w:rPr>
        <w:t>LEED v4.1 has increased its focus on embodied carbon through credits for whole-building life cycle assessment and the use of Environmental Product Declarations (EPDs) for materials (USGBC, 2024). However, this focus is less central than in the CAGBC standard.</w:t>
      </w:r>
    </w:p>
    <w:p w14:paraId="233B1F70" w14:textId="042D8486" w:rsidR="00052B3F" w:rsidRPr="00D06382" w:rsidRDefault="00052B3F" w:rsidP="00052B3F">
      <w:pPr>
        <w:jc w:val="both"/>
        <w:rPr>
          <w:rFonts w:cs="Times New Roman"/>
        </w:rPr>
      </w:pPr>
      <w:r w:rsidRPr="00D06382">
        <w:rPr>
          <w:rFonts w:cs="Times New Roman"/>
        </w:rPr>
        <w:lastRenderedPageBreak/>
        <w:t>Passive House and BOMA BEST do not explicitly address embodied carbon in their core requirements, focusing primarily on operational energy use and emissions (Passive House Institute, 2023; BOMA Canada, 2024).</w:t>
      </w:r>
    </w:p>
    <w:p w14:paraId="47B2E695" w14:textId="195F9D98" w:rsidR="00052B3F" w:rsidRPr="00D06382" w:rsidRDefault="00052B3F" w:rsidP="00052B3F">
      <w:pPr>
        <w:jc w:val="both"/>
        <w:rPr>
          <w:rFonts w:cs="Times New Roman"/>
        </w:rPr>
      </w:pPr>
      <w:r w:rsidRPr="00D06382">
        <w:rPr>
          <w:rFonts w:cs="Times New Roman"/>
        </w:rPr>
        <w:t>The TGS addresses embodied carbon indirectly through its requirements for sustainable materials and waste reduction. For example, it mandates minimum recycled content for materials and sets targets for construction waste diversion (City of Toronto, 2022c).</w:t>
      </w:r>
    </w:p>
    <w:p w14:paraId="3544B96C" w14:textId="77777777" w:rsidR="00052B3F" w:rsidRPr="001C3428" w:rsidRDefault="00052B3F" w:rsidP="001C3428">
      <w:pPr>
        <w:pStyle w:val="Heading2"/>
      </w:pPr>
      <w:bookmarkStart w:id="36" w:name="_Toc202743001"/>
      <w:r w:rsidRPr="001C3428">
        <w:t>Stormwater Management</w:t>
      </w:r>
      <w:bookmarkEnd w:id="36"/>
    </w:p>
    <w:p w14:paraId="58402A4F" w14:textId="01F15050" w:rsidR="00052B3F" w:rsidRPr="00D06382" w:rsidRDefault="00052B3F" w:rsidP="00052B3F">
      <w:pPr>
        <w:jc w:val="both"/>
        <w:rPr>
          <w:rFonts w:cs="Times New Roman"/>
        </w:rPr>
      </w:pPr>
      <w:r w:rsidRPr="00D06382">
        <w:rPr>
          <w:rFonts w:cs="Times New Roman"/>
        </w:rPr>
        <w:t>The approach to stormwater management varies significantly across the green building standards examined, reflecting differences in their overall focus and scope.</w:t>
      </w:r>
    </w:p>
    <w:p w14:paraId="1EB5F1A0" w14:textId="21A2B214" w:rsidR="00052B3F" w:rsidRPr="00D06382" w:rsidRDefault="00052B3F" w:rsidP="00052B3F">
      <w:pPr>
        <w:jc w:val="both"/>
        <w:rPr>
          <w:rFonts w:cs="Times New Roman"/>
        </w:rPr>
      </w:pPr>
      <w:r w:rsidRPr="00D06382">
        <w:rPr>
          <w:rFonts w:cs="Times New Roman"/>
        </w:rPr>
        <w:t>LEED addresses stormwater management comprehensively through its Sustainable Sites category. Specific credits include:</w:t>
      </w:r>
    </w:p>
    <w:p w14:paraId="450336C8" w14:textId="77777777" w:rsidR="00052B3F" w:rsidRPr="00D06382" w:rsidRDefault="00052B3F" w:rsidP="007D5ACF">
      <w:pPr>
        <w:numPr>
          <w:ilvl w:val="0"/>
          <w:numId w:val="43"/>
        </w:numPr>
        <w:spacing w:after="0" w:line="240" w:lineRule="auto"/>
        <w:jc w:val="both"/>
        <w:rPr>
          <w:rFonts w:cs="Times New Roman"/>
        </w:rPr>
      </w:pPr>
      <w:r w:rsidRPr="00D06382">
        <w:rPr>
          <w:rFonts w:cs="Times New Roman"/>
        </w:rPr>
        <w:t>Rainwater Management: Projects can earn up to 3 points for managing on-site runoff from the 95th percentile of regional or local rainfall events using low-impact development (LID) and green infrastructure (GI).</w:t>
      </w:r>
    </w:p>
    <w:p w14:paraId="27595E37" w14:textId="77777777" w:rsidR="00052B3F" w:rsidRPr="00D06382" w:rsidRDefault="00052B3F" w:rsidP="007D5ACF">
      <w:pPr>
        <w:numPr>
          <w:ilvl w:val="0"/>
          <w:numId w:val="43"/>
        </w:numPr>
        <w:spacing w:after="0" w:line="240" w:lineRule="auto"/>
        <w:jc w:val="both"/>
        <w:rPr>
          <w:rFonts w:cs="Times New Roman"/>
        </w:rPr>
      </w:pPr>
      <w:r w:rsidRPr="00D06382">
        <w:rPr>
          <w:rFonts w:cs="Times New Roman"/>
        </w:rPr>
        <w:t>Heat Island Reduction: This credit indirectly supports stormwater management by promoting permeable paving and vegetated roofs.</w:t>
      </w:r>
    </w:p>
    <w:p w14:paraId="2A80295E" w14:textId="77777777" w:rsidR="00052B3F" w:rsidRPr="00D06382" w:rsidRDefault="00052B3F" w:rsidP="00052B3F">
      <w:pPr>
        <w:jc w:val="both"/>
        <w:rPr>
          <w:rFonts w:cs="Times New Roman"/>
        </w:rPr>
      </w:pPr>
    </w:p>
    <w:p w14:paraId="02C0349C" w14:textId="21C03992" w:rsidR="00052B3F" w:rsidRPr="00D06382" w:rsidRDefault="00052B3F" w:rsidP="00052B3F">
      <w:pPr>
        <w:jc w:val="both"/>
        <w:rPr>
          <w:rFonts w:cs="Times New Roman"/>
        </w:rPr>
      </w:pPr>
      <w:r w:rsidRPr="00D06382">
        <w:rPr>
          <w:rFonts w:cs="Times New Roman"/>
        </w:rPr>
        <w:t>LEED</w:t>
      </w:r>
      <w:r w:rsidR="00027B17">
        <w:rPr>
          <w:rFonts w:cs="Times New Roman"/>
        </w:rPr>
        <w:t>’</w:t>
      </w:r>
      <w:r w:rsidRPr="00D06382">
        <w:rPr>
          <w:rFonts w:cs="Times New Roman"/>
        </w:rPr>
        <w:t>s approach encourages a site-specific strategy that mimics natural hydrology and reduces runoff volume (USGBC, 204).</w:t>
      </w:r>
    </w:p>
    <w:p w14:paraId="2DA09969" w14:textId="1CA3DD55" w:rsidR="00052B3F" w:rsidRPr="00D06382" w:rsidRDefault="00052B3F" w:rsidP="00052B3F">
      <w:pPr>
        <w:jc w:val="both"/>
        <w:rPr>
          <w:rFonts w:cs="Times New Roman"/>
        </w:rPr>
      </w:pPr>
      <w:r w:rsidRPr="00D06382">
        <w:rPr>
          <w:rFonts w:cs="Times New Roman"/>
        </w:rPr>
        <w:t>The CAGBC Zero Carbon Building Standard does not directly address stormwater management; its primary focus is carbon emissions. However, it recognizes the importance of resilience in building design, which could indirectly relate to stormwater management in climate change adaptation (CAGBC, 2024).</w:t>
      </w:r>
    </w:p>
    <w:p w14:paraId="3CFF3FE2" w14:textId="097F0092" w:rsidR="00052B3F" w:rsidRPr="00D06382" w:rsidRDefault="00052B3F" w:rsidP="00052B3F">
      <w:pPr>
        <w:jc w:val="both"/>
        <w:rPr>
          <w:rFonts w:cs="Times New Roman"/>
        </w:rPr>
      </w:pPr>
      <w:r w:rsidRPr="00D06382">
        <w:rPr>
          <w:rFonts w:cs="Times New Roman"/>
        </w:rPr>
        <w:t>Passive House standards do not include specific requirements for stormwater management. The standard</w:t>
      </w:r>
      <w:r w:rsidR="00027B17">
        <w:rPr>
          <w:rFonts w:cs="Times New Roman"/>
        </w:rPr>
        <w:t>’</w:t>
      </w:r>
      <w:r w:rsidRPr="00D06382">
        <w:rPr>
          <w:rFonts w:cs="Times New Roman"/>
        </w:rPr>
        <w:t>s intense focus on energy efficiency and thermal performance means water management falls outside its primary scope (Passive House Institute, 2024).</w:t>
      </w:r>
    </w:p>
    <w:p w14:paraId="424FF4F0" w14:textId="556ECF88" w:rsidR="00052B3F" w:rsidRPr="00D06382" w:rsidRDefault="00052B3F" w:rsidP="00052B3F">
      <w:pPr>
        <w:jc w:val="both"/>
        <w:rPr>
          <w:rFonts w:cs="Times New Roman"/>
        </w:rPr>
      </w:pPr>
      <w:r w:rsidRPr="00D06382">
        <w:rPr>
          <w:rFonts w:cs="Times New Roman"/>
        </w:rPr>
        <w:t>BOMA BEST includes stormwater management in its Water category for existing buildings. It assesses:</w:t>
      </w:r>
    </w:p>
    <w:p w14:paraId="10746CB6" w14:textId="77777777" w:rsidR="00052B3F" w:rsidRPr="00D06382" w:rsidRDefault="00052B3F" w:rsidP="007D5ACF">
      <w:pPr>
        <w:pStyle w:val="ListParagraph"/>
        <w:numPr>
          <w:ilvl w:val="0"/>
          <w:numId w:val="44"/>
        </w:numPr>
        <w:spacing w:after="0" w:line="240" w:lineRule="auto"/>
        <w:jc w:val="both"/>
        <w:rPr>
          <w:rFonts w:cs="Times New Roman"/>
        </w:rPr>
      </w:pPr>
      <w:r w:rsidRPr="00D06382">
        <w:rPr>
          <w:rFonts w:cs="Times New Roman"/>
        </w:rPr>
        <w:t>Whether the property has implemented stormwater management practices</w:t>
      </w:r>
    </w:p>
    <w:p w14:paraId="5D7B4D92" w14:textId="77777777" w:rsidR="00052B3F" w:rsidRPr="00D06382" w:rsidRDefault="00052B3F" w:rsidP="007D5ACF">
      <w:pPr>
        <w:pStyle w:val="ListParagraph"/>
        <w:numPr>
          <w:ilvl w:val="0"/>
          <w:numId w:val="44"/>
        </w:numPr>
        <w:spacing w:after="0" w:line="240" w:lineRule="auto"/>
        <w:jc w:val="both"/>
        <w:rPr>
          <w:rFonts w:cs="Times New Roman"/>
        </w:rPr>
      </w:pPr>
      <w:r w:rsidRPr="00D06382">
        <w:rPr>
          <w:rFonts w:cs="Times New Roman"/>
        </w:rPr>
        <w:t>The types of practices implemented (e.g., retention ponds, infiltration galleries, bioswales)</w:t>
      </w:r>
    </w:p>
    <w:p w14:paraId="5E5BB081" w14:textId="77777777" w:rsidR="00052B3F" w:rsidRPr="00D06382" w:rsidRDefault="00052B3F" w:rsidP="007D5ACF">
      <w:pPr>
        <w:pStyle w:val="ListParagraph"/>
        <w:numPr>
          <w:ilvl w:val="0"/>
          <w:numId w:val="44"/>
        </w:numPr>
        <w:spacing w:after="0" w:line="240" w:lineRule="auto"/>
        <w:jc w:val="both"/>
        <w:rPr>
          <w:rFonts w:cs="Times New Roman"/>
        </w:rPr>
      </w:pPr>
      <w:r w:rsidRPr="00D06382">
        <w:rPr>
          <w:rFonts w:cs="Times New Roman"/>
        </w:rPr>
        <w:t>The percentage of impermeable surface area treated by these practices</w:t>
      </w:r>
    </w:p>
    <w:p w14:paraId="7E8F363A" w14:textId="77777777" w:rsidR="00052B3F" w:rsidRPr="00D06382" w:rsidRDefault="00052B3F" w:rsidP="00052B3F">
      <w:pPr>
        <w:jc w:val="both"/>
        <w:rPr>
          <w:rFonts w:cs="Times New Roman"/>
        </w:rPr>
      </w:pPr>
    </w:p>
    <w:p w14:paraId="0C886DE0" w14:textId="171C8374" w:rsidR="00052B3F" w:rsidRPr="00D06382" w:rsidRDefault="00052B3F" w:rsidP="00052B3F">
      <w:pPr>
        <w:jc w:val="both"/>
        <w:rPr>
          <w:rFonts w:cs="Times New Roman"/>
        </w:rPr>
      </w:pPr>
      <w:r w:rsidRPr="00D06382">
        <w:rPr>
          <w:rFonts w:cs="Times New Roman"/>
        </w:rPr>
        <w:lastRenderedPageBreak/>
        <w:t>While less detailed than LEED, BOMA BEST does encourage ongoing stormwater management in existing buildings (BOMA Canada, 2024).</w:t>
      </w:r>
    </w:p>
    <w:p w14:paraId="3A4EF584" w14:textId="1213BE8F" w:rsidR="00052B3F" w:rsidRPr="00D06382" w:rsidRDefault="00052B3F" w:rsidP="00052B3F">
      <w:pPr>
        <w:jc w:val="both"/>
        <w:rPr>
          <w:rFonts w:cs="Times New Roman"/>
        </w:rPr>
      </w:pPr>
      <w:r w:rsidRPr="00D06382">
        <w:rPr>
          <w:rFonts w:cs="Times New Roman"/>
        </w:rPr>
        <w:t>The TGS has the most comprehensive and locally specific approach to stormwater management among these standards. Key requirements include:</w:t>
      </w:r>
    </w:p>
    <w:p w14:paraId="022DA246" w14:textId="77777777" w:rsidR="00052B3F" w:rsidRPr="00D06382" w:rsidRDefault="00052B3F" w:rsidP="007D5ACF">
      <w:pPr>
        <w:numPr>
          <w:ilvl w:val="0"/>
          <w:numId w:val="45"/>
        </w:numPr>
        <w:spacing w:after="0" w:line="240" w:lineRule="auto"/>
        <w:jc w:val="both"/>
        <w:rPr>
          <w:rFonts w:cs="Times New Roman"/>
        </w:rPr>
      </w:pPr>
      <w:r w:rsidRPr="00D06382">
        <w:rPr>
          <w:rFonts w:cs="Times New Roman"/>
        </w:rPr>
        <w:t>Water Balance: Retention of minimum 5mm rainfall from all site surfaces (Tier 1), increasing to 10mm in higher tiers.</w:t>
      </w:r>
    </w:p>
    <w:p w14:paraId="2BB6F853" w14:textId="77777777" w:rsidR="00052B3F" w:rsidRPr="00D06382" w:rsidRDefault="00052B3F" w:rsidP="007D5ACF">
      <w:pPr>
        <w:numPr>
          <w:ilvl w:val="0"/>
          <w:numId w:val="45"/>
        </w:numPr>
        <w:spacing w:after="0" w:line="240" w:lineRule="auto"/>
        <w:jc w:val="both"/>
        <w:rPr>
          <w:rFonts w:cs="Times New Roman"/>
        </w:rPr>
      </w:pPr>
      <w:r w:rsidRPr="00D06382">
        <w:rPr>
          <w:rFonts w:cs="Times New Roman"/>
        </w:rPr>
        <w:t>Water Quality: Removal of 80% of Total Suspended Solids from all runoff leaving the site.</w:t>
      </w:r>
    </w:p>
    <w:p w14:paraId="25615808" w14:textId="77777777" w:rsidR="00052B3F" w:rsidRPr="00D06382" w:rsidRDefault="00052B3F" w:rsidP="007D5ACF">
      <w:pPr>
        <w:numPr>
          <w:ilvl w:val="0"/>
          <w:numId w:val="45"/>
        </w:numPr>
        <w:spacing w:after="0" w:line="240" w:lineRule="auto"/>
        <w:jc w:val="both"/>
        <w:rPr>
          <w:rFonts w:cs="Times New Roman"/>
        </w:rPr>
      </w:pPr>
      <w:r w:rsidRPr="00D06382">
        <w:rPr>
          <w:rFonts w:cs="Times New Roman"/>
        </w:rPr>
        <w:t>Water Quantity: Peak flow control measures to manage flood and erosion risks.</w:t>
      </w:r>
    </w:p>
    <w:p w14:paraId="227AE727" w14:textId="77777777" w:rsidR="00052B3F" w:rsidRPr="00D06382" w:rsidRDefault="00052B3F" w:rsidP="007D5ACF">
      <w:pPr>
        <w:numPr>
          <w:ilvl w:val="0"/>
          <w:numId w:val="45"/>
        </w:numPr>
        <w:spacing w:after="0" w:line="240" w:lineRule="auto"/>
        <w:jc w:val="both"/>
        <w:rPr>
          <w:rFonts w:cs="Times New Roman"/>
        </w:rPr>
      </w:pPr>
      <w:r w:rsidRPr="00D06382">
        <w:rPr>
          <w:rFonts w:cs="Times New Roman"/>
        </w:rPr>
        <w:t>Green Infrastructure: Encouragement of bioretention facilities, green roofs, and permeable pavements, especially in higher tiers.</w:t>
      </w:r>
    </w:p>
    <w:p w14:paraId="60027824" w14:textId="77777777" w:rsidR="00052B3F" w:rsidRPr="00D06382" w:rsidRDefault="00052B3F" w:rsidP="007D5ACF">
      <w:pPr>
        <w:numPr>
          <w:ilvl w:val="0"/>
          <w:numId w:val="45"/>
        </w:numPr>
        <w:spacing w:after="0" w:line="240" w:lineRule="auto"/>
        <w:jc w:val="both"/>
        <w:rPr>
          <w:rFonts w:cs="Times New Roman"/>
        </w:rPr>
      </w:pPr>
      <w:r w:rsidRPr="00D06382">
        <w:rPr>
          <w:rFonts w:cs="Times New Roman"/>
        </w:rPr>
        <w:t>Integration with Green Streets requirements for developments involving new streets.</w:t>
      </w:r>
    </w:p>
    <w:p w14:paraId="59C7E707" w14:textId="77777777" w:rsidR="00052B3F" w:rsidRPr="00D06382" w:rsidRDefault="00052B3F" w:rsidP="00052B3F">
      <w:pPr>
        <w:jc w:val="both"/>
        <w:rPr>
          <w:rFonts w:cs="Times New Roman"/>
        </w:rPr>
      </w:pPr>
    </w:p>
    <w:p w14:paraId="6ADFB8E0" w14:textId="3040089D" w:rsidR="00052B3F" w:rsidRPr="00D06382" w:rsidRDefault="00052B3F" w:rsidP="00052B3F">
      <w:pPr>
        <w:jc w:val="both"/>
        <w:rPr>
          <w:rFonts w:cs="Times New Roman"/>
        </w:rPr>
      </w:pPr>
      <w:r w:rsidRPr="00D06382">
        <w:rPr>
          <w:rFonts w:cs="Times New Roman"/>
        </w:rPr>
        <w:t>The TGS</w:t>
      </w:r>
      <w:r w:rsidR="00027B17">
        <w:rPr>
          <w:rFonts w:cs="Times New Roman"/>
        </w:rPr>
        <w:t>’</w:t>
      </w:r>
      <w:r w:rsidRPr="00D06382">
        <w:rPr>
          <w:rFonts w:cs="Times New Roman"/>
        </w:rPr>
        <w:t>s tiered system allows for progressively more stringent stormwater management practices, aligning with Toronto</w:t>
      </w:r>
      <w:r w:rsidR="00027B17">
        <w:rPr>
          <w:rFonts w:cs="Times New Roman"/>
        </w:rPr>
        <w:t>’</w:t>
      </w:r>
      <w:r w:rsidRPr="00D06382">
        <w:rPr>
          <w:rFonts w:cs="Times New Roman"/>
        </w:rPr>
        <w:t>s specific climate and urban context (City of Toronto, 2022c).</w:t>
      </w:r>
    </w:p>
    <w:p w14:paraId="3FE831F6" w14:textId="1EDA255C" w:rsidR="00052B3F" w:rsidRPr="00D06382" w:rsidRDefault="00052B3F" w:rsidP="00052B3F">
      <w:pPr>
        <w:jc w:val="both"/>
        <w:rPr>
          <w:rFonts w:cs="Times New Roman"/>
        </w:rPr>
      </w:pPr>
      <w:r w:rsidRPr="00D06382">
        <w:rPr>
          <w:rFonts w:cs="Times New Roman"/>
        </w:rPr>
        <w:t xml:space="preserve">In summary, LEED and TGS provide the most comprehensive approaches to stormwater management, with TGS offering the most locally tailored requirements. BOMA BEST addresses it in the context of existing buildings, while the CAGBC Zero Carbon Building and Passive House Standards do not directly include stormwater management in their scope. </w:t>
      </w:r>
    </w:p>
    <w:p w14:paraId="49D19152" w14:textId="77777777" w:rsidR="00052B3F" w:rsidRPr="001C3428" w:rsidRDefault="00052B3F" w:rsidP="001C3428">
      <w:pPr>
        <w:pStyle w:val="Heading2"/>
      </w:pPr>
      <w:bookmarkStart w:id="37" w:name="_Toc202743002"/>
      <w:r w:rsidRPr="001C3428">
        <w:t>Applicability to Existing Buildings</w:t>
      </w:r>
      <w:bookmarkEnd w:id="37"/>
    </w:p>
    <w:p w14:paraId="089DDE5B" w14:textId="3BEBB3F6" w:rsidR="00052B3F" w:rsidRPr="00D06382" w:rsidRDefault="00052B3F" w:rsidP="00052B3F">
      <w:pPr>
        <w:jc w:val="both"/>
        <w:rPr>
          <w:rFonts w:cs="Times New Roman"/>
        </w:rPr>
      </w:pPr>
      <w:r w:rsidRPr="00D06382">
        <w:rPr>
          <w:rFonts w:cs="Times New Roman"/>
        </w:rPr>
        <w:t>BOMA BEST is specifically designed for existing buildings, making it unique among these standards. Its assessment categories and methodology are tailored to the ongoing operations and management of buildings (BOMA Canada, 2024).</w:t>
      </w:r>
    </w:p>
    <w:p w14:paraId="51A5CA8A" w14:textId="283D947C" w:rsidR="00052B3F" w:rsidRPr="00D06382" w:rsidRDefault="00052B3F" w:rsidP="00052B3F">
      <w:pPr>
        <w:jc w:val="both"/>
        <w:rPr>
          <w:rFonts w:cs="Times New Roman"/>
        </w:rPr>
      </w:pPr>
      <w:r w:rsidRPr="00D06382">
        <w:rPr>
          <w:rFonts w:cs="Times New Roman"/>
        </w:rPr>
        <w:t xml:space="preserve">LEED offers specific rating systems for existing buildings (LEED O+M), allowing for certification of buildings in operation (USGBC, 2024). This enables </w:t>
      </w:r>
      <w:r w:rsidR="001C3428">
        <w:rPr>
          <w:rFonts w:cs="Times New Roman"/>
        </w:rPr>
        <w:t xml:space="preserve">the </w:t>
      </w:r>
      <w:r w:rsidRPr="00D06382">
        <w:rPr>
          <w:rFonts w:cs="Times New Roman"/>
        </w:rPr>
        <w:t>continuous improvement of existing building stock.</w:t>
      </w:r>
    </w:p>
    <w:p w14:paraId="2B6C5C74" w14:textId="6A50B7E5" w:rsidR="00052B3F" w:rsidRPr="00D06382" w:rsidRDefault="00052B3F" w:rsidP="00052B3F">
      <w:pPr>
        <w:jc w:val="both"/>
        <w:rPr>
          <w:rFonts w:cs="Times New Roman"/>
        </w:rPr>
      </w:pPr>
      <w:r w:rsidRPr="00D06382">
        <w:rPr>
          <w:rFonts w:cs="Times New Roman"/>
        </w:rPr>
        <w:t xml:space="preserve">The CAGBC Zero Carbon Building Standard </w:t>
      </w:r>
      <w:r w:rsidR="001C3428">
        <w:rPr>
          <w:rFonts w:cs="Times New Roman"/>
        </w:rPr>
        <w:t>provide</w:t>
      </w:r>
      <w:r w:rsidRPr="00D06382">
        <w:rPr>
          <w:rFonts w:cs="Times New Roman"/>
        </w:rPr>
        <w:t xml:space="preserve">s pathways for </w:t>
      </w:r>
      <w:r w:rsidR="001C3428">
        <w:rPr>
          <w:rFonts w:cs="Times New Roman"/>
        </w:rPr>
        <w:t xml:space="preserve">both </w:t>
      </w:r>
      <w:r w:rsidRPr="00D06382">
        <w:rPr>
          <w:rFonts w:cs="Times New Roman"/>
        </w:rPr>
        <w:t xml:space="preserve">new and existing buildings, </w:t>
      </w:r>
      <w:r w:rsidR="001C3428">
        <w:rPr>
          <w:rFonts w:cs="Times New Roman"/>
        </w:rPr>
        <w:t>acknowledg</w:t>
      </w:r>
      <w:r w:rsidRPr="00D06382">
        <w:rPr>
          <w:rFonts w:cs="Times New Roman"/>
        </w:rPr>
        <w:t>ing the importance of addressing emissions from the existing building stock (CAGBC, 2024).</w:t>
      </w:r>
    </w:p>
    <w:p w14:paraId="2B49B861" w14:textId="7AABCF62" w:rsidR="00052B3F" w:rsidRPr="00D06382" w:rsidRDefault="00052B3F" w:rsidP="00052B3F">
      <w:pPr>
        <w:jc w:val="both"/>
        <w:rPr>
          <w:rFonts w:cs="Times New Roman"/>
        </w:rPr>
      </w:pPr>
      <w:r w:rsidRPr="00D06382">
        <w:rPr>
          <w:rFonts w:cs="Times New Roman"/>
        </w:rPr>
        <w:t>Although Passive House</w:t>
      </w:r>
      <w:r w:rsidR="00027B17">
        <w:rPr>
          <w:rFonts w:cs="Times New Roman"/>
        </w:rPr>
        <w:t>’</w:t>
      </w:r>
      <w:r w:rsidRPr="00D06382">
        <w:rPr>
          <w:rFonts w:cs="Times New Roman"/>
        </w:rPr>
        <w:t>s EnerPHit standard applies to existing buildings, due to its stringent requirements, it is most commonly used in new construction (Passive House Institute, 2024).</w:t>
      </w:r>
    </w:p>
    <w:p w14:paraId="32A86B64" w14:textId="6B5C2C80" w:rsidR="00052B3F" w:rsidRPr="00D06382" w:rsidRDefault="00052B3F" w:rsidP="00052B3F">
      <w:pPr>
        <w:jc w:val="both"/>
        <w:rPr>
          <w:rFonts w:cs="Times New Roman"/>
        </w:rPr>
      </w:pPr>
      <w:r w:rsidRPr="00D06382">
        <w:rPr>
          <w:rFonts w:cs="Times New Roman"/>
        </w:rPr>
        <w:t>The TGS primarily focuses on new developments and major renovations. However, it provides guidelines for existing buildings undergoing renovations, particularly in areas such as energy retrofits, water efficiency, and waste management (City of Toronto, 2022d).</w:t>
      </w:r>
    </w:p>
    <w:p w14:paraId="022CB851" w14:textId="77777777" w:rsidR="00052B3F" w:rsidRPr="001C3428" w:rsidRDefault="00052B3F" w:rsidP="001C3428">
      <w:pPr>
        <w:pStyle w:val="Heading2"/>
      </w:pPr>
      <w:bookmarkStart w:id="38" w:name="_Toc202743003"/>
      <w:r w:rsidRPr="001C3428">
        <w:lastRenderedPageBreak/>
        <w:t>Integration with Local Context</w:t>
      </w:r>
      <w:bookmarkEnd w:id="38"/>
    </w:p>
    <w:p w14:paraId="2651EA0C" w14:textId="2AEC9F00" w:rsidR="00052B3F" w:rsidRPr="00D06382" w:rsidRDefault="00052B3F" w:rsidP="00052B3F">
      <w:pPr>
        <w:jc w:val="both"/>
        <w:rPr>
          <w:rFonts w:cs="Times New Roman"/>
        </w:rPr>
      </w:pPr>
      <w:r w:rsidRPr="00D06382">
        <w:rPr>
          <w:rFonts w:cs="Times New Roman"/>
        </w:rPr>
        <w:t>The TGS stands out in its integration with the local context, being specifically designed for the City of Toronto. It aligns with local climate conditions, urban development patterns, and the city</w:t>
      </w:r>
      <w:r w:rsidR="00027B17">
        <w:rPr>
          <w:rFonts w:cs="Times New Roman"/>
        </w:rPr>
        <w:t>’</w:t>
      </w:r>
      <w:r w:rsidRPr="00D06382">
        <w:rPr>
          <w:rFonts w:cs="Times New Roman"/>
        </w:rPr>
        <w:t>s climate action goals (City of Toronto, 2022a). This local focus allows for more targeted and relevant sustainability measures.</w:t>
      </w:r>
    </w:p>
    <w:p w14:paraId="406DF5A0" w14:textId="5E22EB3C" w:rsidR="00052B3F" w:rsidRPr="00D06382" w:rsidRDefault="00052B3F" w:rsidP="00052B3F">
      <w:pPr>
        <w:jc w:val="both"/>
        <w:rPr>
          <w:rFonts w:cs="Times New Roman"/>
        </w:rPr>
      </w:pPr>
      <w:r w:rsidRPr="00D06382">
        <w:rPr>
          <w:rFonts w:cs="Times New Roman"/>
        </w:rPr>
        <w:t>LEED, CAGBC Zero Carbon Building Standard, Passive House, and BOMA BEST are designed to be applicable across various geographical contexts. While this allows for broader adoption, tailoring these standards to specific local conditions and priorities may require additional effort.</w:t>
      </w:r>
    </w:p>
    <w:p w14:paraId="5574C710" w14:textId="59EF7BAB" w:rsidR="00052B3F" w:rsidRPr="00D06382" w:rsidRDefault="00052B3F" w:rsidP="00052B3F">
      <w:pPr>
        <w:jc w:val="both"/>
        <w:rPr>
          <w:rFonts w:cs="Times New Roman"/>
        </w:rPr>
      </w:pPr>
      <w:r w:rsidRPr="00D06382">
        <w:rPr>
          <w:rFonts w:cs="Times New Roman"/>
        </w:rPr>
        <w:t>In conclusion, each green building standard offers a distinct approach to improving building sustainability, with varying emphases on energy efficiency, carbon reduction, and other sustainability factors. The choice of standard would depend on the specific goals of a project, whether it</w:t>
      </w:r>
      <w:r w:rsidR="00027B17">
        <w:rPr>
          <w:rFonts w:cs="Times New Roman"/>
        </w:rPr>
        <w:t>’</w:t>
      </w:r>
      <w:r w:rsidRPr="00D06382">
        <w:rPr>
          <w:rFonts w:cs="Times New Roman"/>
        </w:rPr>
        <w:t xml:space="preserve">s new construction or an existing building, and the desired balance between energy efficiency, carbon reduction, and other sustainability factors. </w:t>
      </w:r>
    </w:p>
    <w:p w14:paraId="7F0BF327" w14:textId="60A17863" w:rsidR="00052B3F" w:rsidRPr="00D06382" w:rsidRDefault="00052B3F" w:rsidP="00052B3F">
      <w:pPr>
        <w:jc w:val="both"/>
        <w:rPr>
          <w:rFonts w:cs="Times New Roman"/>
        </w:rPr>
      </w:pPr>
      <w:r w:rsidRPr="00D06382">
        <w:rPr>
          <w:rFonts w:cs="Times New Roman"/>
        </w:rPr>
        <w:t>Adherence to rigorous green building standards improves campus sustainability and can positively impact a university</w:t>
      </w:r>
      <w:r w:rsidR="00027B17">
        <w:rPr>
          <w:rFonts w:cs="Times New Roman"/>
        </w:rPr>
        <w:t>’</w:t>
      </w:r>
      <w:r w:rsidRPr="00D06382">
        <w:rPr>
          <w:rFonts w:cs="Times New Roman"/>
        </w:rPr>
        <w:t>s performance in global assessments like the THE Impact Rankings, particularly in SDGs related to sustainable infrastructure and climate action. A combination of these standards for York University, using the TGS as a baseline given its local relevance and mandatory requirement, could provide a comprehensive framework for its green building strategy.</w:t>
      </w:r>
    </w:p>
    <w:p w14:paraId="19963640" w14:textId="7BF85CDC" w:rsidR="00052B3F" w:rsidRPr="001C3428" w:rsidRDefault="00052B3F" w:rsidP="001C3428">
      <w:pPr>
        <w:pStyle w:val="Heading1"/>
      </w:pPr>
      <w:bookmarkStart w:id="39" w:name="_Toc202743004"/>
      <w:r w:rsidRPr="001C3428">
        <w:t>Case Studies: Canadian Higher Education Institutions</w:t>
      </w:r>
      <w:bookmarkEnd w:id="39"/>
    </w:p>
    <w:p w14:paraId="32ABE49B" w14:textId="2F9E7876"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An analysis of the net zero building strategies of Humber College, University of Toronto, University of Waterloo, and University of California Berkeley (USA) reveals several key themes and innovative approaches that could inform York University</w:t>
      </w:r>
      <w:r w:rsidR="00027B17">
        <w:rPr>
          <w:rFonts w:asciiTheme="minorHAnsi" w:hAnsiTheme="minorHAnsi"/>
          <w:sz w:val="22"/>
          <w:szCs w:val="22"/>
        </w:rPr>
        <w:t>’</w:t>
      </w:r>
      <w:r w:rsidRPr="00D06382">
        <w:rPr>
          <w:rFonts w:asciiTheme="minorHAnsi" w:hAnsiTheme="minorHAnsi"/>
          <w:sz w:val="22"/>
          <w:szCs w:val="22"/>
        </w:rPr>
        <w:t xml:space="preserve">s green building strategy. </w:t>
      </w:r>
    </w:p>
    <w:p w14:paraId="076DE05C" w14:textId="0B40501F" w:rsidR="00052B3F" w:rsidRPr="00D06382" w:rsidRDefault="00052B3F" w:rsidP="00052B3F">
      <w:pPr>
        <w:pStyle w:val="Caption"/>
        <w:spacing w:after="0"/>
        <w:jc w:val="center"/>
        <w:rPr>
          <w:rFonts w:asciiTheme="minorHAnsi" w:hAnsiTheme="minorHAnsi" w:cs="Times New Roman"/>
          <w:b/>
          <w:bCs/>
          <w:i/>
          <w:iCs w:val="0"/>
          <w:sz w:val="22"/>
          <w:szCs w:val="22"/>
        </w:rPr>
      </w:pPr>
      <w:r w:rsidRPr="00D06382">
        <w:rPr>
          <w:rFonts w:asciiTheme="minorHAnsi" w:hAnsiTheme="minorHAnsi" w:cs="Times New Roman"/>
          <w:b/>
          <w:bCs/>
          <w:iCs w:val="0"/>
          <w:sz w:val="22"/>
          <w:szCs w:val="22"/>
        </w:rPr>
        <w:t xml:space="preserve">Table </w:t>
      </w:r>
      <w:r w:rsidRPr="00D06382">
        <w:rPr>
          <w:rFonts w:asciiTheme="minorHAnsi" w:hAnsiTheme="minorHAnsi" w:cs="Times New Roman"/>
          <w:b/>
          <w:bCs/>
          <w:iCs w:val="0"/>
          <w:sz w:val="22"/>
          <w:szCs w:val="22"/>
        </w:rPr>
        <w:fldChar w:fldCharType="begin"/>
      </w:r>
      <w:r w:rsidRPr="00D06382">
        <w:rPr>
          <w:rFonts w:asciiTheme="minorHAnsi" w:hAnsiTheme="minorHAnsi" w:cs="Times New Roman"/>
          <w:b/>
          <w:bCs/>
          <w:iCs w:val="0"/>
          <w:sz w:val="22"/>
          <w:szCs w:val="22"/>
        </w:rPr>
        <w:instrText xml:space="preserve"> SEQ Table \* ARABIC </w:instrText>
      </w:r>
      <w:r w:rsidRPr="00D06382">
        <w:rPr>
          <w:rFonts w:asciiTheme="minorHAnsi" w:hAnsiTheme="minorHAnsi" w:cs="Times New Roman"/>
          <w:b/>
          <w:bCs/>
          <w:iCs w:val="0"/>
          <w:sz w:val="22"/>
          <w:szCs w:val="22"/>
        </w:rPr>
        <w:fldChar w:fldCharType="separate"/>
      </w:r>
      <w:r w:rsidR="007E61A3">
        <w:rPr>
          <w:rFonts w:asciiTheme="minorHAnsi" w:hAnsiTheme="minorHAnsi" w:cs="Times New Roman"/>
          <w:b/>
          <w:bCs/>
          <w:iCs w:val="0"/>
          <w:noProof/>
          <w:sz w:val="22"/>
          <w:szCs w:val="22"/>
        </w:rPr>
        <w:t>2</w:t>
      </w:r>
      <w:r w:rsidRPr="00D06382">
        <w:rPr>
          <w:rFonts w:asciiTheme="minorHAnsi" w:hAnsiTheme="minorHAnsi" w:cs="Times New Roman"/>
          <w:b/>
          <w:bCs/>
          <w:iCs w:val="0"/>
          <w:sz w:val="22"/>
          <w:szCs w:val="22"/>
        </w:rPr>
        <w:fldChar w:fldCharType="end"/>
      </w:r>
      <w:r w:rsidRPr="00D06382">
        <w:rPr>
          <w:rFonts w:asciiTheme="minorHAnsi" w:hAnsiTheme="minorHAnsi" w:cs="Times New Roman"/>
          <w:b/>
          <w:bCs/>
          <w:iCs w:val="0"/>
          <w:sz w:val="22"/>
          <w:szCs w:val="22"/>
        </w:rPr>
        <w:t xml:space="preserve"> Comparative Analysis of the Net Zero Building Strategies </w:t>
      </w:r>
    </w:p>
    <w:p w14:paraId="7542DC14" w14:textId="6C2D7AF1" w:rsidR="00052B3F" w:rsidRPr="007E61A3" w:rsidRDefault="00052B3F" w:rsidP="007E61A3">
      <w:pPr>
        <w:pStyle w:val="Caption"/>
        <w:spacing w:after="0"/>
        <w:jc w:val="center"/>
        <w:rPr>
          <w:rFonts w:asciiTheme="minorHAnsi" w:hAnsiTheme="minorHAnsi" w:cs="Times New Roman"/>
          <w:b/>
          <w:bCs/>
          <w:i/>
          <w:iCs w:val="0"/>
          <w:sz w:val="22"/>
          <w:szCs w:val="22"/>
        </w:rPr>
      </w:pPr>
      <w:r w:rsidRPr="00D06382">
        <w:rPr>
          <w:rFonts w:asciiTheme="minorHAnsi" w:hAnsiTheme="minorHAnsi" w:cs="Times New Roman"/>
          <w:b/>
          <w:bCs/>
          <w:iCs w:val="0"/>
          <w:sz w:val="22"/>
          <w:szCs w:val="22"/>
        </w:rPr>
        <w:t>of Selected Higher Education Institutions</w:t>
      </w:r>
    </w:p>
    <w:tbl>
      <w:tblPr>
        <w:tblStyle w:val="TableGrid"/>
        <w:tblW w:w="10632" w:type="dxa"/>
        <w:tblInd w:w="-431" w:type="dxa"/>
        <w:tblLook w:val="04A0" w:firstRow="1" w:lastRow="0" w:firstColumn="1" w:lastColumn="0" w:noHBand="0" w:noVBand="1"/>
      </w:tblPr>
      <w:tblGrid>
        <w:gridCol w:w="1702"/>
        <w:gridCol w:w="2126"/>
        <w:gridCol w:w="2197"/>
        <w:gridCol w:w="1930"/>
        <w:gridCol w:w="2677"/>
      </w:tblGrid>
      <w:tr w:rsidR="00052B3F" w:rsidRPr="00FA38EC" w14:paraId="3F855938" w14:textId="77777777" w:rsidTr="001C3428">
        <w:tc>
          <w:tcPr>
            <w:tcW w:w="1702" w:type="dxa"/>
          </w:tcPr>
          <w:p w14:paraId="2101DF42"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Aspects</w:t>
            </w:r>
          </w:p>
        </w:tc>
        <w:tc>
          <w:tcPr>
            <w:tcW w:w="2126" w:type="dxa"/>
          </w:tcPr>
          <w:p w14:paraId="5FDEA158"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Humber College</w:t>
            </w:r>
          </w:p>
        </w:tc>
        <w:tc>
          <w:tcPr>
            <w:tcW w:w="2197" w:type="dxa"/>
          </w:tcPr>
          <w:p w14:paraId="7AE099E9"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University of Toronto</w:t>
            </w:r>
          </w:p>
        </w:tc>
        <w:tc>
          <w:tcPr>
            <w:tcW w:w="0" w:type="auto"/>
          </w:tcPr>
          <w:p w14:paraId="157D83E5"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University of Waterloo</w:t>
            </w:r>
          </w:p>
        </w:tc>
        <w:tc>
          <w:tcPr>
            <w:tcW w:w="2677" w:type="dxa"/>
          </w:tcPr>
          <w:p w14:paraId="0B39B299"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UC Berkeley</w:t>
            </w:r>
          </w:p>
        </w:tc>
      </w:tr>
      <w:tr w:rsidR="00052B3F" w:rsidRPr="00FA38EC" w14:paraId="04890A50" w14:textId="77777777" w:rsidTr="001C3428">
        <w:tc>
          <w:tcPr>
            <w:tcW w:w="1702" w:type="dxa"/>
          </w:tcPr>
          <w:p w14:paraId="79BC97AD"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Targets and Timelines</w:t>
            </w:r>
          </w:p>
        </w:tc>
        <w:tc>
          <w:tcPr>
            <w:tcW w:w="2126" w:type="dxa"/>
          </w:tcPr>
          <w:p w14:paraId="5313BBFC"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Net zero carbon by 2050</w:t>
            </w:r>
          </w:p>
        </w:tc>
        <w:tc>
          <w:tcPr>
            <w:tcW w:w="2197" w:type="dxa"/>
          </w:tcPr>
          <w:p w14:paraId="371FA15E"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37% reduction in GHG emissions below 1990 levels by 2030</w:t>
            </w:r>
          </w:p>
        </w:tc>
        <w:tc>
          <w:tcPr>
            <w:tcW w:w="0" w:type="auto"/>
          </w:tcPr>
          <w:p w14:paraId="537E5F6D"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50% increase in energy efficiency and 60% reduction in absolute carbon emissions by 2034 (compared to 2014 levels)</w:t>
            </w:r>
          </w:p>
        </w:tc>
        <w:tc>
          <w:tcPr>
            <w:tcW w:w="2677" w:type="dxa"/>
          </w:tcPr>
          <w:p w14:paraId="321FAEFE"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All new buildings and major modifications to achieve LEED Gold certification and be designed for net zero emissions</w:t>
            </w:r>
          </w:p>
        </w:tc>
      </w:tr>
      <w:tr w:rsidR="00052B3F" w:rsidRPr="00FA38EC" w14:paraId="69C94E21" w14:textId="77777777" w:rsidTr="001C3428">
        <w:tc>
          <w:tcPr>
            <w:tcW w:w="1702" w:type="dxa"/>
          </w:tcPr>
          <w:p w14:paraId="185D4FD8"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Energy Production</w:t>
            </w:r>
          </w:p>
        </w:tc>
        <w:tc>
          <w:tcPr>
            <w:tcW w:w="2126" w:type="dxa"/>
          </w:tcPr>
          <w:p w14:paraId="4ECCCE76"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Implementing geo-exchange system at Lakeshore Campus</w:t>
            </w:r>
          </w:p>
        </w:tc>
        <w:tc>
          <w:tcPr>
            <w:tcW w:w="2197" w:type="dxa"/>
          </w:tcPr>
          <w:p w14:paraId="2219592A" w14:textId="66BE7992"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Canada</w:t>
            </w:r>
            <w:r w:rsidR="00027B17">
              <w:rPr>
                <w:rFonts w:asciiTheme="minorHAnsi" w:hAnsiTheme="minorHAnsi"/>
                <w:color w:val="000000"/>
                <w:sz w:val="16"/>
                <w:szCs w:val="16"/>
              </w:rPr>
              <w:t>’</w:t>
            </w:r>
            <w:r w:rsidRPr="00FA38EC">
              <w:rPr>
                <w:rFonts w:asciiTheme="minorHAnsi" w:hAnsiTheme="minorHAnsi"/>
                <w:color w:val="000000"/>
                <w:sz w:val="16"/>
                <w:szCs w:val="16"/>
              </w:rPr>
              <w:t>s largest urban geo-exchange system under Front Campus</w:t>
            </w:r>
          </w:p>
        </w:tc>
        <w:tc>
          <w:tcPr>
            <w:tcW w:w="0" w:type="auto"/>
          </w:tcPr>
          <w:p w14:paraId="417E60FF"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N/A</w:t>
            </w:r>
          </w:p>
        </w:tc>
        <w:tc>
          <w:tcPr>
            <w:tcW w:w="2677" w:type="dxa"/>
          </w:tcPr>
          <w:p w14:paraId="285BEE14"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Requirement to evaluate feasibility of on-site solar PV for new buildings</w:t>
            </w:r>
          </w:p>
        </w:tc>
      </w:tr>
      <w:tr w:rsidR="00052B3F" w:rsidRPr="00FA38EC" w14:paraId="5C0439A2" w14:textId="77777777" w:rsidTr="001C3428">
        <w:tc>
          <w:tcPr>
            <w:tcW w:w="1702" w:type="dxa"/>
          </w:tcPr>
          <w:p w14:paraId="6AC73229"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Energy Distribution</w:t>
            </w:r>
          </w:p>
        </w:tc>
        <w:tc>
          <w:tcPr>
            <w:tcW w:w="2126" w:type="dxa"/>
          </w:tcPr>
          <w:p w14:paraId="76DC377E" w14:textId="77777777" w:rsidR="00052B3F" w:rsidRPr="00FA38EC" w:rsidRDefault="00052B3F" w:rsidP="001C3428">
            <w:pPr>
              <w:pStyle w:val="whitespace-pre-wrap"/>
              <w:rPr>
                <w:rFonts w:asciiTheme="minorHAnsi" w:hAnsiTheme="minorHAnsi"/>
                <w:color w:val="000000"/>
                <w:sz w:val="16"/>
                <w:szCs w:val="16"/>
              </w:rPr>
            </w:pPr>
            <w:r w:rsidRPr="00FA38EC">
              <w:rPr>
                <w:rFonts w:asciiTheme="minorHAnsi" w:hAnsiTheme="minorHAnsi"/>
                <w:color w:val="000000"/>
                <w:sz w:val="16"/>
                <w:szCs w:val="16"/>
              </w:rPr>
              <w:t>N/A</w:t>
            </w:r>
          </w:p>
        </w:tc>
        <w:tc>
          <w:tcPr>
            <w:tcW w:w="2197" w:type="dxa"/>
          </w:tcPr>
          <w:p w14:paraId="7949CC7D"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Upgrading century-old district energy system, converting from steam to low-temperature hot water distribution</w:t>
            </w:r>
          </w:p>
        </w:tc>
        <w:tc>
          <w:tcPr>
            <w:tcW w:w="0" w:type="auto"/>
          </w:tcPr>
          <w:p w14:paraId="1F36D105"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Plans to connect all new and existing buildings to upgraded campus-wide heating and cooling networks</w:t>
            </w:r>
          </w:p>
        </w:tc>
        <w:tc>
          <w:tcPr>
            <w:tcW w:w="2677" w:type="dxa"/>
          </w:tcPr>
          <w:p w14:paraId="14FD7F2A"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N/A</w:t>
            </w:r>
          </w:p>
        </w:tc>
      </w:tr>
      <w:tr w:rsidR="00052B3F" w:rsidRPr="00FA38EC" w14:paraId="392A84E1" w14:textId="77777777" w:rsidTr="001C3428">
        <w:tc>
          <w:tcPr>
            <w:tcW w:w="1702" w:type="dxa"/>
          </w:tcPr>
          <w:p w14:paraId="2923F1B7"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lastRenderedPageBreak/>
              <w:t>Energy Consumption</w:t>
            </w:r>
          </w:p>
        </w:tc>
        <w:tc>
          <w:tcPr>
            <w:tcW w:w="2126" w:type="dxa"/>
          </w:tcPr>
          <w:p w14:paraId="62FCC89A"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Deep energy retrofits of existing buildings; Existing Building Optimization strategy</w:t>
            </w:r>
          </w:p>
        </w:tc>
        <w:tc>
          <w:tcPr>
            <w:tcW w:w="2197" w:type="dxa"/>
          </w:tcPr>
          <w:p w14:paraId="16A8B4F5"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$8.5 million revolving fund for energy conservation projects in existing buildings</w:t>
            </w:r>
          </w:p>
        </w:tc>
        <w:tc>
          <w:tcPr>
            <w:tcW w:w="0" w:type="auto"/>
          </w:tcPr>
          <w:p w14:paraId="6132DBE4"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New buildings required to meet German A-rated building performance standards (approx. twice as efficient as Ontario Building Code)</w:t>
            </w:r>
          </w:p>
        </w:tc>
        <w:tc>
          <w:tcPr>
            <w:tcW w:w="2677" w:type="dxa"/>
          </w:tcPr>
          <w:p w14:paraId="772A9F34"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New buildings must outperform California energy efficiency standards by at least 20%</w:t>
            </w:r>
          </w:p>
        </w:tc>
      </w:tr>
      <w:tr w:rsidR="00052B3F" w:rsidRPr="00FA38EC" w14:paraId="0E71AAA5" w14:textId="77777777" w:rsidTr="001C3428">
        <w:trPr>
          <w:trHeight w:val="1833"/>
        </w:trPr>
        <w:tc>
          <w:tcPr>
            <w:tcW w:w="1702" w:type="dxa"/>
          </w:tcPr>
          <w:p w14:paraId="2F38704D" w14:textId="77777777" w:rsidR="00052B3F" w:rsidRPr="00FA38EC" w:rsidRDefault="00052B3F" w:rsidP="001C3428">
            <w:pPr>
              <w:pStyle w:val="whitespace-pre-wrap"/>
              <w:spacing w:after="0"/>
              <w:rPr>
                <w:rFonts w:asciiTheme="minorHAnsi" w:hAnsiTheme="minorHAnsi"/>
                <w:b/>
                <w:bCs/>
                <w:color w:val="000000"/>
                <w:sz w:val="16"/>
                <w:szCs w:val="16"/>
              </w:rPr>
            </w:pPr>
            <w:r w:rsidRPr="00FA38EC">
              <w:rPr>
                <w:rFonts w:asciiTheme="minorHAnsi" w:hAnsiTheme="minorHAnsi"/>
                <w:b/>
                <w:bCs/>
                <w:color w:val="000000"/>
                <w:sz w:val="16"/>
                <w:szCs w:val="16"/>
              </w:rPr>
              <w:t>Stormwater Management</w:t>
            </w:r>
          </w:p>
        </w:tc>
        <w:tc>
          <w:tcPr>
            <w:tcW w:w="2126" w:type="dxa"/>
          </w:tcPr>
          <w:p w14:paraId="2338F52B"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-Bioswales and rain gardens across campus.</w:t>
            </w:r>
          </w:p>
          <w:p w14:paraId="5B223921"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-Permeable pavement in parking lots</w:t>
            </w:r>
          </w:p>
          <w:p w14:paraId="4AF67DE8"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-Green roofs on new buildings</w:t>
            </w:r>
          </w:p>
        </w:tc>
        <w:tc>
          <w:tcPr>
            <w:tcW w:w="2197" w:type="dxa"/>
          </w:tcPr>
          <w:p w14:paraId="6D48FBBB"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Stormwater management pond at Scarborough campus</w:t>
            </w:r>
          </w:p>
          <w:p w14:paraId="23EE1598"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Green roof on Exam Centre at St. George campus</w:t>
            </w:r>
          </w:p>
          <w:p w14:paraId="7FBF27FB"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Rainwater harvesting system at Mississauga campus</w:t>
            </w:r>
          </w:p>
        </w:tc>
        <w:tc>
          <w:tcPr>
            <w:tcW w:w="0" w:type="auto"/>
          </w:tcPr>
          <w:p w14:paraId="636DB820"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Campus-wide stormwater master plan</w:t>
            </w:r>
          </w:p>
          <w:p w14:paraId="033D8BDB"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Low impact development (LID) features including bioswales and permeable pavement</w:t>
            </w:r>
          </w:p>
          <w:p w14:paraId="6B2AF712"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Green roof on Environment 3 building</w:t>
            </w:r>
          </w:p>
        </w:tc>
        <w:tc>
          <w:tcPr>
            <w:tcW w:w="2677" w:type="dxa"/>
          </w:tcPr>
          <w:p w14:paraId="6A555551"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Strawberry Creek Management Plan</w:t>
            </w:r>
          </w:p>
          <w:p w14:paraId="66B6E4DB"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Bioswales and rain gardens across campus</w:t>
            </w:r>
          </w:p>
          <w:p w14:paraId="11769CFF" w14:textId="77777777" w:rsidR="00052B3F" w:rsidRPr="00FA38EC" w:rsidRDefault="00052B3F" w:rsidP="001C3428">
            <w:pPr>
              <w:pStyle w:val="whitespace-pre-wrap"/>
              <w:spacing w:after="0"/>
              <w:rPr>
                <w:rFonts w:asciiTheme="minorHAnsi" w:hAnsiTheme="minorHAnsi"/>
                <w:color w:val="000000"/>
                <w:sz w:val="16"/>
                <w:szCs w:val="16"/>
              </w:rPr>
            </w:pPr>
            <w:r w:rsidRPr="00FA38EC">
              <w:rPr>
                <w:rFonts w:asciiTheme="minorHAnsi" w:hAnsiTheme="minorHAnsi"/>
                <w:color w:val="000000"/>
                <w:sz w:val="16"/>
                <w:szCs w:val="16"/>
              </w:rPr>
              <w:t>- Permeable paving in pedestrian areas</w:t>
            </w:r>
          </w:p>
        </w:tc>
      </w:tr>
      <w:tr w:rsidR="00052B3F" w:rsidRPr="00FA38EC" w14:paraId="342BCB45" w14:textId="77777777" w:rsidTr="001C3428">
        <w:tc>
          <w:tcPr>
            <w:tcW w:w="1702" w:type="dxa"/>
          </w:tcPr>
          <w:p w14:paraId="39AC44C6"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Innovative Technologies</w:t>
            </w:r>
          </w:p>
        </w:tc>
        <w:tc>
          <w:tcPr>
            <w:tcW w:w="2126" w:type="dxa"/>
          </w:tcPr>
          <w:p w14:paraId="20D728B0"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Smart building controls with predictive controls and fault detection</w:t>
            </w:r>
          </w:p>
        </w:tc>
        <w:tc>
          <w:tcPr>
            <w:tcW w:w="2197" w:type="dxa"/>
          </w:tcPr>
          <w:p w14:paraId="7940A9B9"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Carbon capture and utilization pilot; 14-story mass timber academic tower</w:t>
            </w:r>
          </w:p>
        </w:tc>
        <w:tc>
          <w:tcPr>
            <w:tcW w:w="0" w:type="auto"/>
          </w:tcPr>
          <w:p w14:paraId="40BC0A7B"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Smart building controls with predictive controls and fault detection</w:t>
            </w:r>
          </w:p>
        </w:tc>
        <w:tc>
          <w:tcPr>
            <w:tcW w:w="2677" w:type="dxa"/>
          </w:tcPr>
          <w:p w14:paraId="08EAD64C"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Prohibition of on-site fossil fuel combustion for space and water heating in new buildings</w:t>
            </w:r>
          </w:p>
        </w:tc>
      </w:tr>
      <w:tr w:rsidR="00052B3F" w:rsidRPr="00FA38EC" w14:paraId="220C632A" w14:textId="77777777" w:rsidTr="001C3428">
        <w:tc>
          <w:tcPr>
            <w:tcW w:w="1702" w:type="dxa"/>
          </w:tcPr>
          <w:p w14:paraId="0F21EF9C"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Integration of Research and Operations</w:t>
            </w:r>
          </w:p>
        </w:tc>
        <w:tc>
          <w:tcPr>
            <w:tcW w:w="2126" w:type="dxa"/>
          </w:tcPr>
          <w:p w14:paraId="23F1E979"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N/A</w:t>
            </w:r>
          </w:p>
        </w:tc>
        <w:tc>
          <w:tcPr>
            <w:tcW w:w="2197" w:type="dxa"/>
          </w:tcPr>
          <w:p w14:paraId="12968A78" w14:textId="62CEA1F9" w:rsidR="00052B3F" w:rsidRPr="00FA38EC" w:rsidRDefault="00A8627F" w:rsidP="001C3428">
            <w:pPr>
              <w:pStyle w:val="whitespace-pre-wrap"/>
              <w:rPr>
                <w:rFonts w:asciiTheme="minorHAnsi" w:hAnsiTheme="minorHAnsi"/>
                <w:sz w:val="16"/>
                <w:szCs w:val="16"/>
              </w:rPr>
            </w:pPr>
            <w:r>
              <w:rPr>
                <w:rFonts w:asciiTheme="minorHAnsi" w:hAnsiTheme="minorHAnsi"/>
                <w:color w:val="000000"/>
                <w:sz w:val="16"/>
                <w:szCs w:val="16"/>
              </w:rPr>
              <w:t>“</w:t>
            </w:r>
            <w:r w:rsidR="00052B3F" w:rsidRPr="00FA38EC">
              <w:rPr>
                <w:rFonts w:asciiTheme="minorHAnsi" w:hAnsiTheme="minorHAnsi"/>
                <w:color w:val="000000"/>
                <w:sz w:val="16"/>
                <w:szCs w:val="16"/>
              </w:rPr>
              <w:t>Campus as a Living Lab</w:t>
            </w:r>
            <w:r>
              <w:rPr>
                <w:rFonts w:asciiTheme="minorHAnsi" w:hAnsiTheme="minorHAnsi"/>
                <w:color w:val="000000"/>
                <w:sz w:val="16"/>
                <w:szCs w:val="16"/>
              </w:rPr>
              <w:t>”</w:t>
            </w:r>
            <w:r w:rsidR="00052B3F" w:rsidRPr="00FA38EC">
              <w:rPr>
                <w:rFonts w:asciiTheme="minorHAnsi" w:hAnsiTheme="minorHAnsi"/>
                <w:color w:val="000000"/>
                <w:sz w:val="16"/>
                <w:szCs w:val="16"/>
              </w:rPr>
              <w:t xml:space="preserve"> program</w:t>
            </w:r>
          </w:p>
        </w:tc>
        <w:tc>
          <w:tcPr>
            <w:tcW w:w="0" w:type="auto"/>
          </w:tcPr>
          <w:p w14:paraId="344AEA52"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Creation of Strategic Implementation Network with industry partners</w:t>
            </w:r>
          </w:p>
        </w:tc>
        <w:tc>
          <w:tcPr>
            <w:tcW w:w="2677" w:type="dxa"/>
          </w:tcPr>
          <w:p w14:paraId="390C25A1" w14:textId="372701AB"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 xml:space="preserve">Encouragement of projects that </w:t>
            </w:r>
            <w:r w:rsidR="00027B17">
              <w:rPr>
                <w:rFonts w:asciiTheme="minorHAnsi" w:hAnsiTheme="minorHAnsi"/>
                <w:color w:val="000000"/>
                <w:sz w:val="16"/>
                <w:szCs w:val="16"/>
              </w:rPr>
              <w:t>‘</w:t>
            </w:r>
            <w:r w:rsidRPr="00FA38EC">
              <w:rPr>
                <w:rFonts w:asciiTheme="minorHAnsi" w:hAnsiTheme="minorHAnsi"/>
                <w:color w:val="000000"/>
                <w:sz w:val="16"/>
                <w:szCs w:val="16"/>
              </w:rPr>
              <w:t>advance sustainable building practices, learning opportunities, and leadership</w:t>
            </w:r>
            <w:r w:rsidR="00027B17">
              <w:rPr>
                <w:rFonts w:asciiTheme="minorHAnsi" w:hAnsiTheme="minorHAnsi"/>
                <w:color w:val="000000"/>
                <w:sz w:val="16"/>
                <w:szCs w:val="16"/>
              </w:rPr>
              <w:t>’</w:t>
            </w:r>
          </w:p>
        </w:tc>
      </w:tr>
      <w:tr w:rsidR="00052B3F" w:rsidRPr="00FA38EC" w14:paraId="62C52EC2" w14:textId="77777777" w:rsidTr="001C3428">
        <w:tc>
          <w:tcPr>
            <w:tcW w:w="1702" w:type="dxa"/>
          </w:tcPr>
          <w:p w14:paraId="5044F549"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b/>
                <w:bCs/>
                <w:color w:val="000000"/>
                <w:sz w:val="16"/>
                <w:szCs w:val="16"/>
              </w:rPr>
              <w:t>Holistic Approach to Sustainability</w:t>
            </w:r>
          </w:p>
        </w:tc>
        <w:tc>
          <w:tcPr>
            <w:tcW w:w="2126" w:type="dxa"/>
          </w:tcPr>
          <w:p w14:paraId="0082BFC0"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Focus on water efficiency</w:t>
            </w:r>
          </w:p>
        </w:tc>
        <w:tc>
          <w:tcPr>
            <w:tcW w:w="2197" w:type="dxa"/>
          </w:tcPr>
          <w:p w14:paraId="3302CE24"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Quantifies carbon sequestration benefits of campus trees</w:t>
            </w:r>
          </w:p>
        </w:tc>
        <w:tc>
          <w:tcPr>
            <w:tcW w:w="0" w:type="auto"/>
          </w:tcPr>
          <w:p w14:paraId="0DAB070F"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Set ambitious water efficiency targets</w:t>
            </w:r>
          </w:p>
        </w:tc>
        <w:tc>
          <w:tcPr>
            <w:tcW w:w="2677" w:type="dxa"/>
          </w:tcPr>
          <w:p w14:paraId="753A9077" w14:textId="77777777" w:rsidR="00052B3F" w:rsidRPr="00FA38EC" w:rsidRDefault="00052B3F" w:rsidP="001C3428">
            <w:pPr>
              <w:pStyle w:val="whitespace-pre-wrap"/>
              <w:rPr>
                <w:rFonts w:asciiTheme="minorHAnsi" w:hAnsiTheme="minorHAnsi"/>
                <w:sz w:val="16"/>
                <w:szCs w:val="16"/>
              </w:rPr>
            </w:pPr>
            <w:r w:rsidRPr="00FA38EC">
              <w:rPr>
                <w:rFonts w:asciiTheme="minorHAnsi" w:hAnsiTheme="minorHAnsi"/>
                <w:color w:val="000000"/>
                <w:sz w:val="16"/>
                <w:szCs w:val="16"/>
              </w:rPr>
              <w:t>Specific requirements for daylighting, indoor air quality, and thermal comfort; 40% reduction in indoor water use for new buildings</w:t>
            </w:r>
          </w:p>
        </w:tc>
      </w:tr>
      <w:tr w:rsidR="00052B3F" w:rsidRPr="00FA38EC" w14:paraId="65F374C4" w14:textId="77777777" w:rsidTr="001C3428">
        <w:tc>
          <w:tcPr>
            <w:tcW w:w="1702" w:type="dxa"/>
          </w:tcPr>
          <w:p w14:paraId="419FC4EF" w14:textId="77777777" w:rsidR="00052B3F" w:rsidRPr="00FA38EC" w:rsidRDefault="00052B3F" w:rsidP="001C3428">
            <w:pPr>
              <w:pStyle w:val="whitespace-pre-wrap"/>
              <w:rPr>
                <w:rFonts w:asciiTheme="minorHAnsi" w:hAnsiTheme="minorHAnsi"/>
                <w:b/>
                <w:bCs/>
                <w:color w:val="000000"/>
                <w:sz w:val="16"/>
                <w:szCs w:val="16"/>
              </w:rPr>
            </w:pPr>
            <w:r w:rsidRPr="00FA38EC">
              <w:rPr>
                <w:rFonts w:asciiTheme="minorHAnsi" w:hAnsiTheme="minorHAnsi"/>
                <w:b/>
                <w:bCs/>
                <w:color w:val="000000"/>
                <w:sz w:val="16"/>
                <w:szCs w:val="16"/>
              </w:rPr>
              <w:t>Financing and Governance Mechanisms</w:t>
            </w:r>
          </w:p>
        </w:tc>
        <w:tc>
          <w:tcPr>
            <w:tcW w:w="2126" w:type="dxa"/>
          </w:tcPr>
          <w:p w14:paraId="2952D35A" w14:textId="77777777" w:rsidR="00052B3F" w:rsidRPr="00FA38EC" w:rsidRDefault="00052B3F" w:rsidP="001C3428">
            <w:pPr>
              <w:pStyle w:val="whitespace-pre-wrap"/>
              <w:rPr>
                <w:rFonts w:asciiTheme="minorHAnsi" w:hAnsiTheme="minorHAnsi"/>
                <w:color w:val="000000"/>
                <w:sz w:val="16"/>
                <w:szCs w:val="16"/>
              </w:rPr>
            </w:pPr>
            <w:r w:rsidRPr="00FA38EC">
              <w:rPr>
                <w:rFonts w:asciiTheme="minorHAnsi" w:hAnsiTheme="minorHAnsi"/>
                <w:color w:val="000000"/>
                <w:sz w:val="16"/>
                <w:szCs w:val="16"/>
              </w:rPr>
              <w:t>N/A</w:t>
            </w:r>
          </w:p>
        </w:tc>
        <w:tc>
          <w:tcPr>
            <w:tcW w:w="2197" w:type="dxa"/>
          </w:tcPr>
          <w:p w14:paraId="6982E4F5" w14:textId="77777777" w:rsidR="00052B3F" w:rsidRPr="00FA38EC" w:rsidRDefault="00052B3F" w:rsidP="001C3428">
            <w:pPr>
              <w:pStyle w:val="whitespace-pre-wrap"/>
              <w:rPr>
                <w:rFonts w:asciiTheme="minorHAnsi" w:hAnsiTheme="minorHAnsi"/>
                <w:color w:val="000000"/>
                <w:sz w:val="16"/>
                <w:szCs w:val="16"/>
              </w:rPr>
            </w:pPr>
            <w:r w:rsidRPr="00FA38EC">
              <w:rPr>
                <w:rFonts w:asciiTheme="minorHAnsi" w:hAnsiTheme="minorHAnsi"/>
                <w:color w:val="000000"/>
                <w:sz w:val="16"/>
                <w:szCs w:val="16"/>
              </w:rPr>
              <w:t>$8.5 million Utilities Reduction Revolving Fund</w:t>
            </w:r>
          </w:p>
        </w:tc>
        <w:tc>
          <w:tcPr>
            <w:tcW w:w="0" w:type="auto"/>
          </w:tcPr>
          <w:p w14:paraId="5D966CDC" w14:textId="52355FBB" w:rsidR="00052B3F" w:rsidRPr="00FA38EC" w:rsidRDefault="00052B3F" w:rsidP="001C3428">
            <w:pPr>
              <w:pStyle w:val="whitespace-pre-wrap"/>
              <w:rPr>
                <w:rFonts w:asciiTheme="minorHAnsi" w:hAnsiTheme="minorHAnsi"/>
                <w:color w:val="000000"/>
                <w:sz w:val="16"/>
                <w:szCs w:val="16"/>
              </w:rPr>
            </w:pPr>
            <w:r w:rsidRPr="00FA38EC">
              <w:rPr>
                <w:rFonts w:asciiTheme="minorHAnsi" w:hAnsiTheme="minorHAnsi"/>
                <w:color w:val="000000"/>
                <w:sz w:val="16"/>
                <w:szCs w:val="16"/>
              </w:rPr>
              <w:t>In process of creating a Strategic</w:t>
            </w:r>
            <w:r w:rsidR="001255A5" w:rsidRPr="00FA38EC">
              <w:rPr>
                <w:rFonts w:asciiTheme="minorHAnsi" w:hAnsiTheme="minorHAnsi"/>
                <w:color w:val="000000"/>
                <w:sz w:val="16"/>
                <w:szCs w:val="16"/>
              </w:rPr>
              <w:t xml:space="preserve"> </w:t>
            </w:r>
            <w:r w:rsidRPr="00FA38EC">
              <w:rPr>
                <w:rFonts w:asciiTheme="minorHAnsi" w:hAnsiTheme="minorHAnsi"/>
                <w:color w:val="000000"/>
                <w:sz w:val="16"/>
                <w:szCs w:val="16"/>
              </w:rPr>
              <w:t>Implementation Network of industry partners</w:t>
            </w:r>
          </w:p>
        </w:tc>
        <w:tc>
          <w:tcPr>
            <w:tcW w:w="2677" w:type="dxa"/>
          </w:tcPr>
          <w:p w14:paraId="6EDB164D" w14:textId="77777777" w:rsidR="00052B3F" w:rsidRPr="00FA38EC" w:rsidRDefault="00052B3F" w:rsidP="001C3428">
            <w:pPr>
              <w:pStyle w:val="whitespace-pre-wrap"/>
              <w:keepNext/>
              <w:rPr>
                <w:rFonts w:asciiTheme="minorHAnsi" w:hAnsiTheme="minorHAnsi"/>
                <w:color w:val="000000"/>
                <w:sz w:val="16"/>
                <w:szCs w:val="16"/>
              </w:rPr>
            </w:pPr>
            <w:r w:rsidRPr="00FA38EC">
              <w:rPr>
                <w:rFonts w:asciiTheme="minorHAnsi" w:hAnsiTheme="minorHAnsi"/>
                <w:color w:val="000000"/>
                <w:sz w:val="16"/>
                <w:szCs w:val="16"/>
              </w:rPr>
              <w:t>Mandates sustainability workshops during design and reviews through construction for all major projects</w:t>
            </w:r>
          </w:p>
        </w:tc>
      </w:tr>
    </w:tbl>
    <w:p w14:paraId="47D37984" w14:textId="77777777" w:rsidR="00052B3F" w:rsidRPr="00D06382" w:rsidRDefault="00052B3F" w:rsidP="00052B3F">
      <w:pPr>
        <w:rPr>
          <w:rFonts w:cs="Times New Roman"/>
        </w:rPr>
      </w:pPr>
    </w:p>
    <w:p w14:paraId="16E98F87" w14:textId="77777777" w:rsidR="00052B3F" w:rsidRPr="001C3428" w:rsidRDefault="00052B3F" w:rsidP="001C3428">
      <w:pPr>
        <w:pStyle w:val="Heading2"/>
      </w:pPr>
      <w:bookmarkStart w:id="40" w:name="_Toc202743005"/>
      <w:r w:rsidRPr="001C3428">
        <w:t>Targets and Timelines</w:t>
      </w:r>
      <w:bookmarkEnd w:id="40"/>
    </w:p>
    <w:p w14:paraId="1933E7F7"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These four institutions have set ambitious targets to reduce greenhouse gas (GHG) emissions and achieve net zero or carbon-neutral buildings. Humber College aims to be net zero carbon by 2050, while the University of Toronto has committed to reducing GHG emissions by 37% below 1990 levels by 2030 (Humber College 2019; University of Toronto, 2023). The University of Waterloo aims to increase energy efficiency by 50% and reduce absolute carbon emissions by 60% by 2034 compared to 2014 levels (University of Waterloo, 2022). UC Berkeley requires all new buildings and major modifications to achieve LEED Gold certification at a minimum and be designed for net zero emissions (UC Berkeley, 2020).</w:t>
      </w:r>
    </w:p>
    <w:p w14:paraId="7756B1DD" w14:textId="06956C02"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 xml:space="preserve">These aggressive targets demonstrate institutional leadership on climate action and provide clear goals to drive planning and implementation. More importantly, these institutions have also established interim targets and detailed implementation roadmaps to ensure steady progress. </w:t>
      </w:r>
      <w:r w:rsidRPr="00D06382">
        <w:rPr>
          <w:rFonts w:asciiTheme="minorHAnsi" w:hAnsiTheme="minorHAnsi"/>
          <w:sz w:val="22"/>
          <w:szCs w:val="22"/>
        </w:rPr>
        <w:lastRenderedPageBreak/>
        <w:t>An example of this is the University of Toronto</w:t>
      </w:r>
      <w:r w:rsidR="00027B17">
        <w:rPr>
          <w:rFonts w:asciiTheme="minorHAnsi" w:hAnsiTheme="minorHAnsi"/>
          <w:sz w:val="22"/>
          <w:szCs w:val="22"/>
        </w:rPr>
        <w:t>’</w:t>
      </w:r>
      <w:r w:rsidRPr="00D06382">
        <w:rPr>
          <w:rFonts w:asciiTheme="minorHAnsi" w:hAnsiTheme="minorHAnsi"/>
          <w:sz w:val="22"/>
          <w:szCs w:val="22"/>
        </w:rPr>
        <w:t>s Low-Carbon Action Plan, which outlines specific GHG reduction projects and targets for 2024 to put the university on track for its 2030 goal (University of Toronto, 2024).</w:t>
      </w:r>
    </w:p>
    <w:p w14:paraId="53F261E5" w14:textId="77777777" w:rsidR="00052B3F" w:rsidRPr="001C3428" w:rsidRDefault="00052B3F" w:rsidP="001C3428">
      <w:pPr>
        <w:pStyle w:val="Heading2"/>
      </w:pPr>
      <w:bookmarkStart w:id="41" w:name="_Toc202743006"/>
      <w:r w:rsidRPr="001C3428">
        <w:t>Energy Production, Distribution, and Consumption</w:t>
      </w:r>
      <w:bookmarkEnd w:id="41"/>
    </w:p>
    <w:p w14:paraId="14A27CB7"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One key feature across the institutions under review is the adoption of comprehensive strategies that address energy production, distribution, and consumption. Rather than focusing solely on building-level interventions, the universities take a systems approach to decarbonization.</w:t>
      </w:r>
    </w:p>
    <w:p w14:paraId="389728E3" w14:textId="6D992006"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On the production side, there is a strong emphasis on transitioning to low-carbon energy sources. Geo-exchange systems feature prominently, with the University of Toronto planning Canada</w:t>
      </w:r>
      <w:r w:rsidR="00027B17">
        <w:rPr>
          <w:rFonts w:asciiTheme="minorHAnsi" w:hAnsiTheme="minorHAnsi"/>
          <w:sz w:val="22"/>
          <w:szCs w:val="22"/>
        </w:rPr>
        <w:t>’</w:t>
      </w:r>
      <w:r w:rsidRPr="00D06382">
        <w:rPr>
          <w:rFonts w:asciiTheme="minorHAnsi" w:hAnsiTheme="minorHAnsi"/>
          <w:sz w:val="22"/>
          <w:szCs w:val="22"/>
        </w:rPr>
        <w:t>s largest urban geo-exchange system under its Front Campus (University of Toronto, 2024). Humber College is also implementing a geo-exchange system at its Lakeshore Campus. Solar photovoltaics are another key component, with UC Berkeley requiring new buildings to evaluate the feasibility of on-site solar PV (UC Berkeley, 2020).</w:t>
      </w:r>
    </w:p>
    <w:p w14:paraId="1A084CFB"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In terms of energy distribution, district energy systems are being optimized and expanded. The University of Toronto is upgrading its century-old district energy system, improving efficiencies, and converting from steam to low-temperature hot water distribution (University of Toronto, 2024). Similarly, the University of Waterloo plans to connect all new and existing buildings to upgraded campus-wide heating and cooling networks (University of Waterloo, 2022).</w:t>
      </w:r>
    </w:p>
    <w:p w14:paraId="4B7DFBB8" w14:textId="7890B612"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On the consumption side, deep energy retrofits of existing buildings are a major focus across all institutions. Specifically, the University of Toronto has established an $8.5 million revolving fund for energy conservation projects in existing buildings (University of Toronto, 2024). Humber College</w:t>
      </w:r>
      <w:r w:rsidR="00027B17">
        <w:rPr>
          <w:rFonts w:asciiTheme="minorHAnsi" w:hAnsiTheme="minorHAnsi"/>
          <w:sz w:val="22"/>
          <w:szCs w:val="22"/>
        </w:rPr>
        <w:t>’</w:t>
      </w:r>
      <w:r w:rsidRPr="00D06382">
        <w:rPr>
          <w:rFonts w:asciiTheme="minorHAnsi" w:hAnsiTheme="minorHAnsi"/>
          <w:sz w:val="22"/>
          <w:szCs w:val="22"/>
        </w:rPr>
        <w:t>s Existing Building Optimization strategy similarly targets envelope upgrades, HVAC optimization, and lighting retrofits. The UC Berkeley strategy mandates that renovations achieve LEED ID+C certification at a minimum (UC Berkeley, 2020).</w:t>
      </w:r>
    </w:p>
    <w:p w14:paraId="3B2EA713"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For new construction, stringent energy performance standards exceeding building codes are being implemented. The University of Waterloo requires new buildings to meet German A-rated building performance standards, which are approximately twice as efficient as the Ontario Building Code (University of Waterloo, 2019). UC Berkeley mandates that new buildings outperform California energy efficiency standards by at least 20% (UC Berkeley, 2020).</w:t>
      </w:r>
    </w:p>
    <w:p w14:paraId="07CC4698" w14:textId="77777777" w:rsidR="00052B3F" w:rsidRPr="001C3428" w:rsidRDefault="00052B3F" w:rsidP="001C3428">
      <w:pPr>
        <w:pStyle w:val="Heading2"/>
      </w:pPr>
      <w:bookmarkStart w:id="42" w:name="_Toc202743007"/>
      <w:r w:rsidRPr="001C3428">
        <w:t>Stormwater Management</w:t>
      </w:r>
      <w:bookmarkEnd w:id="42"/>
    </w:p>
    <w:p w14:paraId="62439CD6" w14:textId="7CA74AB7" w:rsidR="00052B3F" w:rsidRPr="00D06382" w:rsidRDefault="00052B3F" w:rsidP="00052B3F">
      <w:pPr>
        <w:jc w:val="both"/>
        <w:rPr>
          <w:rFonts w:cs="Times New Roman"/>
        </w:rPr>
      </w:pPr>
      <w:r w:rsidRPr="00D06382">
        <w:rPr>
          <w:rFonts w:cs="Times New Roman"/>
        </w:rPr>
        <w:t xml:space="preserve">Humber College has implemented several innovative stormwater management strategies across its campuses. The college has installed extensive bioswales and rain gardens, which help to filter and slow down stormwater runoff. These green infrastructure elements not only manage water but also enhance campus biodiversity. Humber has also incorporated permeable pavement in its parking lots, allowing rainwater to infiltrate the ground rather than contributing to surface runoff. Additionally, new buildings on campus feature green roofs, which help to </w:t>
      </w:r>
      <w:r w:rsidRPr="00D06382">
        <w:rPr>
          <w:rFonts w:cs="Times New Roman"/>
        </w:rPr>
        <w:lastRenderedPageBreak/>
        <w:t>reduce stormwater runoff while also providing insulation and reducing the urban heat island effect (Humber College, 2024).</w:t>
      </w:r>
    </w:p>
    <w:p w14:paraId="1E8053CC" w14:textId="38EA3A3A" w:rsidR="00052B3F" w:rsidRPr="00D06382" w:rsidRDefault="00052B3F" w:rsidP="00052B3F">
      <w:pPr>
        <w:jc w:val="both"/>
        <w:rPr>
          <w:rFonts w:cs="Times New Roman"/>
        </w:rPr>
      </w:pPr>
      <w:r w:rsidRPr="00D06382">
        <w:rPr>
          <w:rFonts w:cs="Times New Roman"/>
        </w:rPr>
        <w:t>The University of Toronto has taken a multi-campus approach to stormwater management. At the Scarborough campus, a large stormwater management pond serves as both a functional infrastructure element and an aesthetic feature of the campus landscape. This pond helps to control runoff and improve water quality before it enters local waterways. At the downtown St. George campus, the Exam Centre features an extensive green roof system, which helps to reduce stormwater runoff in the dense urban environment. The Mississauga campus has implemented a rainwater harvesting system, collecting rainwater for non-potable uses such as irrigation, thereby reducing both stormwater runoff and potable water consumption (University of Toronto, 2020).</w:t>
      </w:r>
    </w:p>
    <w:p w14:paraId="069CA014" w14:textId="0CDE8ADD" w:rsidR="00052B3F" w:rsidRPr="00D06382" w:rsidRDefault="00052B3F" w:rsidP="00052B3F">
      <w:pPr>
        <w:jc w:val="both"/>
        <w:rPr>
          <w:rFonts w:cs="Times New Roman"/>
        </w:rPr>
      </w:pPr>
      <w:r w:rsidRPr="00D06382">
        <w:rPr>
          <w:rFonts w:cs="Times New Roman"/>
        </w:rPr>
        <w:t>The University of Waterloo has developed a comprehensive, campus-wide stormwater master plan to guide its water management efforts. This plan has led to the implementation of various low-impact development (LID) features across the campus, including bioswales and areas of permeable pavement. These features help to manage stormwater at its source, reducing the burden on traditional stormwater infrastructure. One of the most visible examples of the university</w:t>
      </w:r>
      <w:r w:rsidR="00027B17">
        <w:rPr>
          <w:rFonts w:cs="Times New Roman"/>
        </w:rPr>
        <w:t>’</w:t>
      </w:r>
      <w:r w:rsidRPr="00D06382">
        <w:rPr>
          <w:rFonts w:cs="Times New Roman"/>
        </w:rPr>
        <w:t>s commitment to sustainable water management is the green roof on the Environment 3 building. This living roof manages stormwater and serves as a research site for students and faculty studying green infrastructure performance (University of Waterloo, 2022).</w:t>
      </w:r>
    </w:p>
    <w:p w14:paraId="7596A962" w14:textId="26D595F8" w:rsidR="00052B3F" w:rsidRPr="00D06382" w:rsidRDefault="00052B3F" w:rsidP="00052B3F">
      <w:pPr>
        <w:jc w:val="both"/>
        <w:rPr>
          <w:rFonts w:cs="Times New Roman"/>
        </w:rPr>
      </w:pPr>
      <w:r w:rsidRPr="00D06382">
        <w:rPr>
          <w:rFonts w:cs="Times New Roman"/>
        </w:rPr>
        <w:t>UC Berkeley</w:t>
      </w:r>
      <w:r w:rsidR="00027B17">
        <w:rPr>
          <w:rFonts w:cs="Times New Roman"/>
        </w:rPr>
        <w:t>’</w:t>
      </w:r>
      <w:r w:rsidRPr="00D06382">
        <w:rPr>
          <w:rFonts w:cs="Times New Roman"/>
        </w:rPr>
        <w:t>s approach to stormwater management is centered around the Strawberry Creek Management Plan. This comprehensive plan aims to restore and protect Strawberry Creek, which runs through the heart of the campus. As part of this plan, the university has implemented numerous bioswales and rain gardens across the campus, strategically placed to capture and filter runoff before it enters the creek. The university has also incorporated permeable paving in many pedestrian areas, allowing rainwater to infiltrate the ground rather than become runoff. These efforts manage stormwater and provide educational opportunities for students studying environmental science and sustainable design (UC Berkeley, 2024).</w:t>
      </w:r>
    </w:p>
    <w:p w14:paraId="2FED1B8C" w14:textId="77777777" w:rsidR="00052B3F" w:rsidRPr="001C3428" w:rsidRDefault="00052B3F" w:rsidP="001C3428">
      <w:pPr>
        <w:pStyle w:val="Heading2"/>
      </w:pPr>
      <w:bookmarkStart w:id="43" w:name="_Toc202743008"/>
      <w:r w:rsidRPr="001C3428">
        <w:t>Innovative Technologies and Approaches</w:t>
      </w:r>
      <w:bookmarkEnd w:id="43"/>
    </w:p>
    <w:p w14:paraId="3646A8F2" w14:textId="3B5F1199"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adoption of several innovative technologies and approaches is also prevalent across the institutions</w:t>
      </w:r>
      <w:r w:rsidR="00027B17">
        <w:rPr>
          <w:rFonts w:asciiTheme="minorHAnsi" w:hAnsiTheme="minorHAnsi"/>
          <w:sz w:val="22"/>
          <w:szCs w:val="22"/>
        </w:rPr>
        <w:t>’</w:t>
      </w:r>
      <w:r w:rsidRPr="00D06382">
        <w:rPr>
          <w:rFonts w:asciiTheme="minorHAnsi" w:hAnsiTheme="minorHAnsi"/>
          <w:sz w:val="22"/>
          <w:szCs w:val="22"/>
        </w:rPr>
        <w:t xml:space="preserve"> strategies:</w:t>
      </w:r>
    </w:p>
    <w:p w14:paraId="4FCC12A5" w14:textId="77777777" w:rsidR="00052B3F" w:rsidRPr="00D06382" w:rsidRDefault="00052B3F" w:rsidP="007D5ACF">
      <w:pPr>
        <w:pStyle w:val="whitespace-pre-wrap"/>
        <w:numPr>
          <w:ilvl w:val="0"/>
          <w:numId w:val="15"/>
        </w:numPr>
        <w:jc w:val="both"/>
        <w:rPr>
          <w:rFonts w:asciiTheme="minorHAnsi" w:hAnsiTheme="minorHAnsi"/>
          <w:sz w:val="22"/>
          <w:szCs w:val="22"/>
        </w:rPr>
      </w:pPr>
      <w:r w:rsidRPr="00D06382">
        <w:rPr>
          <w:rFonts w:asciiTheme="minorHAnsi" w:hAnsiTheme="minorHAnsi"/>
          <w:sz w:val="22"/>
          <w:szCs w:val="22"/>
        </w:rPr>
        <w:t>Carbon capture and utilization: The University of Toronto is collaborating with researchers to pilot carbon capture technologies that convert CO2 into usable products like ethylene and ethanol (University of Toronto, 2020). This demonstrates the potential for leveraging academic expertise to develop cutting-edge solutions.</w:t>
      </w:r>
    </w:p>
    <w:p w14:paraId="62F42FC3" w14:textId="43505F7A" w:rsidR="00052B3F" w:rsidRPr="00D06382" w:rsidRDefault="00052B3F" w:rsidP="007D5ACF">
      <w:pPr>
        <w:pStyle w:val="whitespace-pre-wrap"/>
        <w:numPr>
          <w:ilvl w:val="0"/>
          <w:numId w:val="15"/>
        </w:numPr>
        <w:jc w:val="both"/>
        <w:rPr>
          <w:rFonts w:asciiTheme="minorHAnsi" w:hAnsiTheme="minorHAnsi"/>
          <w:sz w:val="22"/>
          <w:szCs w:val="22"/>
        </w:rPr>
      </w:pPr>
      <w:r w:rsidRPr="00D06382">
        <w:rPr>
          <w:rFonts w:asciiTheme="minorHAnsi" w:hAnsiTheme="minorHAnsi"/>
          <w:sz w:val="22"/>
          <w:szCs w:val="22"/>
        </w:rPr>
        <w:t xml:space="preserve">Mass timber construction: The University of Toronto is planning a 14-story mass timber academic tower expected to be the tallest in North America. With a projected GHG </w:t>
      </w:r>
      <w:r w:rsidRPr="00D06382">
        <w:rPr>
          <w:rFonts w:asciiTheme="minorHAnsi" w:hAnsiTheme="minorHAnsi"/>
          <w:sz w:val="22"/>
          <w:szCs w:val="22"/>
        </w:rPr>
        <w:lastRenderedPageBreak/>
        <w:t>intensity of 14-15 kg CO2e/m2, it will likely significantly outperform the university</w:t>
      </w:r>
      <w:r w:rsidR="00027B17">
        <w:rPr>
          <w:rFonts w:asciiTheme="minorHAnsi" w:hAnsiTheme="minorHAnsi"/>
          <w:sz w:val="22"/>
          <w:szCs w:val="22"/>
        </w:rPr>
        <w:t>’</w:t>
      </w:r>
      <w:r w:rsidRPr="00D06382">
        <w:rPr>
          <w:rFonts w:asciiTheme="minorHAnsi" w:hAnsiTheme="minorHAnsi"/>
          <w:sz w:val="22"/>
          <w:szCs w:val="22"/>
        </w:rPr>
        <w:t>s 2030 target of 32 kg CO2e/m2 (University of Toronto, 2020).</w:t>
      </w:r>
    </w:p>
    <w:p w14:paraId="4CD9344A" w14:textId="77777777" w:rsidR="00052B3F" w:rsidRPr="00D06382" w:rsidRDefault="00052B3F" w:rsidP="007D5ACF">
      <w:pPr>
        <w:pStyle w:val="whitespace-pre-wrap"/>
        <w:numPr>
          <w:ilvl w:val="0"/>
          <w:numId w:val="15"/>
        </w:numPr>
        <w:jc w:val="both"/>
        <w:rPr>
          <w:rFonts w:asciiTheme="minorHAnsi" w:hAnsiTheme="minorHAnsi"/>
          <w:sz w:val="22"/>
          <w:szCs w:val="22"/>
        </w:rPr>
      </w:pPr>
      <w:r w:rsidRPr="00D06382">
        <w:rPr>
          <w:rFonts w:asciiTheme="minorHAnsi" w:hAnsiTheme="minorHAnsi"/>
          <w:sz w:val="22"/>
          <w:szCs w:val="22"/>
        </w:rPr>
        <w:t>Smart building controls: Humber College and the University of Waterloo are implementing advanced building automation systems with predictive controls and fault detection to optimize energy use in real-time (Humber College, 2024; University of Waterloo, 2022).</w:t>
      </w:r>
    </w:p>
    <w:p w14:paraId="43B7DCAA" w14:textId="77777777" w:rsidR="00052B3F" w:rsidRPr="00D06382" w:rsidRDefault="00052B3F" w:rsidP="007D5ACF">
      <w:pPr>
        <w:pStyle w:val="whitespace-pre-wrap"/>
        <w:numPr>
          <w:ilvl w:val="0"/>
          <w:numId w:val="15"/>
        </w:numPr>
        <w:jc w:val="both"/>
        <w:rPr>
          <w:rFonts w:asciiTheme="minorHAnsi" w:hAnsiTheme="minorHAnsi"/>
          <w:sz w:val="22"/>
          <w:szCs w:val="22"/>
        </w:rPr>
      </w:pPr>
      <w:r w:rsidRPr="00D06382">
        <w:rPr>
          <w:rFonts w:asciiTheme="minorHAnsi" w:hAnsiTheme="minorHAnsi"/>
          <w:sz w:val="22"/>
          <w:szCs w:val="22"/>
        </w:rPr>
        <w:t>Waste heat recovery: The University of Toronto is expanding systems to capture and reuse waste heat from its central plant stack and data centers (University of Toronto, 2020). Likewise, Humber College is focusing on heat recovery from exhaust air and process loads.</w:t>
      </w:r>
    </w:p>
    <w:p w14:paraId="7F99412B" w14:textId="77777777" w:rsidR="00052B3F" w:rsidRPr="00D06382" w:rsidRDefault="00052B3F" w:rsidP="007D5ACF">
      <w:pPr>
        <w:pStyle w:val="whitespace-pre-wrap"/>
        <w:numPr>
          <w:ilvl w:val="0"/>
          <w:numId w:val="15"/>
        </w:numPr>
        <w:jc w:val="both"/>
        <w:rPr>
          <w:rFonts w:asciiTheme="minorHAnsi" w:hAnsiTheme="minorHAnsi"/>
          <w:sz w:val="22"/>
          <w:szCs w:val="22"/>
        </w:rPr>
      </w:pPr>
      <w:r w:rsidRPr="00D06382">
        <w:rPr>
          <w:rFonts w:asciiTheme="minorHAnsi" w:hAnsiTheme="minorHAnsi"/>
          <w:sz w:val="22"/>
          <w:szCs w:val="22"/>
        </w:rPr>
        <w:t>Electrification: UC Berkeley prohibits on-site fossil fuel combustion for space and water heating in new buildings to drive increased electrification (UC Berkeley, 2023). The University of Waterloo also emphasizes the electrification of heating systems (University of Waterloo, 2022).</w:t>
      </w:r>
    </w:p>
    <w:p w14:paraId="3565FF8A" w14:textId="77777777" w:rsidR="00052B3F" w:rsidRPr="001C3428" w:rsidRDefault="00052B3F" w:rsidP="001C3428">
      <w:pPr>
        <w:pStyle w:val="Heading2"/>
      </w:pPr>
      <w:bookmarkStart w:id="44" w:name="_Toc202743009"/>
      <w:r w:rsidRPr="001C3428">
        <w:t>Integration of Research and Operations</w:t>
      </w:r>
      <w:bookmarkEnd w:id="44"/>
    </w:p>
    <w:p w14:paraId="250920C9" w14:textId="3F59CBF0"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A notable feature across the institutions is the close integration of academic research with facilities operations to drive innovation. The University of Toronto</w:t>
      </w:r>
      <w:r w:rsidR="00027B17">
        <w:rPr>
          <w:rFonts w:asciiTheme="minorHAnsi" w:hAnsiTheme="minorHAnsi"/>
          <w:sz w:val="22"/>
          <w:szCs w:val="22"/>
        </w:rPr>
        <w:t>’</w:t>
      </w:r>
      <w:r w:rsidRPr="00D06382">
        <w:rPr>
          <w:rFonts w:asciiTheme="minorHAnsi" w:hAnsiTheme="minorHAnsi"/>
          <w:sz w:val="22"/>
          <w:szCs w:val="22"/>
        </w:rPr>
        <w:t xml:space="preserve">s </w:t>
      </w:r>
      <w:r w:rsidR="00A8627F">
        <w:rPr>
          <w:rFonts w:asciiTheme="minorHAnsi" w:hAnsiTheme="minorHAnsi"/>
          <w:sz w:val="22"/>
          <w:szCs w:val="22"/>
        </w:rPr>
        <w:t>“</w:t>
      </w:r>
      <w:r w:rsidRPr="00D06382">
        <w:rPr>
          <w:rFonts w:asciiTheme="minorHAnsi" w:hAnsiTheme="minorHAnsi"/>
          <w:sz w:val="22"/>
          <w:szCs w:val="22"/>
        </w:rPr>
        <w:t>Campus as a Living Lab</w:t>
      </w:r>
      <w:r w:rsidR="00A8627F">
        <w:rPr>
          <w:rFonts w:asciiTheme="minorHAnsi" w:hAnsiTheme="minorHAnsi"/>
          <w:sz w:val="22"/>
          <w:szCs w:val="22"/>
        </w:rPr>
        <w:t>”</w:t>
      </w:r>
      <w:r w:rsidRPr="00D06382">
        <w:rPr>
          <w:rFonts w:asciiTheme="minorHAnsi" w:hAnsiTheme="minorHAnsi"/>
          <w:sz w:val="22"/>
          <w:szCs w:val="22"/>
        </w:rPr>
        <w:t xml:space="preserve"> program brings together faculty, students, staff, and external partners to develop sustainability projects that combine operational and academic activities (University of Toronto, 2020). Similarly, UC Berkeley encourages projects to </w:t>
      </w:r>
      <w:r w:rsidR="00027B17">
        <w:rPr>
          <w:rFonts w:asciiTheme="minorHAnsi" w:hAnsiTheme="minorHAnsi"/>
          <w:sz w:val="22"/>
          <w:szCs w:val="22"/>
        </w:rPr>
        <w:t>‘</w:t>
      </w:r>
      <w:r w:rsidRPr="00D06382">
        <w:rPr>
          <w:rFonts w:asciiTheme="minorHAnsi" w:hAnsiTheme="minorHAnsi"/>
          <w:sz w:val="22"/>
          <w:szCs w:val="22"/>
        </w:rPr>
        <w:t>advance sustainable building practices, learning opportunities, and leadership</w:t>
      </w:r>
      <w:r w:rsidR="00027B17">
        <w:rPr>
          <w:rFonts w:asciiTheme="minorHAnsi" w:hAnsiTheme="minorHAnsi"/>
          <w:sz w:val="22"/>
          <w:szCs w:val="22"/>
        </w:rPr>
        <w:t>’</w:t>
      </w:r>
      <w:r w:rsidRPr="00D06382">
        <w:rPr>
          <w:rFonts w:asciiTheme="minorHAnsi" w:hAnsiTheme="minorHAnsi"/>
          <w:sz w:val="22"/>
          <w:szCs w:val="22"/>
        </w:rPr>
        <w:t xml:space="preserve"> (UC Berkeley, 2023).</w:t>
      </w:r>
    </w:p>
    <w:p w14:paraId="6A3B75B7"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This integration allows the institutions to leverage their research expertise to develop innovative solutions while providing hands-on learning opportunities for students. It also enables piloting and testing of new technologies in real-world settings before wider deployment.</w:t>
      </w:r>
    </w:p>
    <w:p w14:paraId="061FDE40" w14:textId="77777777" w:rsidR="00052B3F" w:rsidRPr="001C3428" w:rsidRDefault="00052B3F" w:rsidP="001C3428">
      <w:pPr>
        <w:pStyle w:val="Heading2"/>
      </w:pPr>
      <w:bookmarkStart w:id="45" w:name="_Toc202743010"/>
      <w:r w:rsidRPr="001C3428">
        <w:t>Holistic Approach to Sustainability</w:t>
      </w:r>
      <w:bookmarkEnd w:id="45"/>
    </w:p>
    <w:p w14:paraId="0F9DFEE4" w14:textId="5B1CA323"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While reducing GHG emissions remains a primary focus, these institutions take a holistic approach to sustainability that considers co-benefits. For instance, UC Berkeley</w:t>
      </w:r>
      <w:r w:rsidR="00027B17">
        <w:rPr>
          <w:rFonts w:asciiTheme="minorHAnsi" w:hAnsiTheme="minorHAnsi"/>
          <w:sz w:val="22"/>
          <w:szCs w:val="22"/>
        </w:rPr>
        <w:t>’</w:t>
      </w:r>
      <w:r w:rsidRPr="00D06382">
        <w:rPr>
          <w:rFonts w:asciiTheme="minorHAnsi" w:hAnsiTheme="minorHAnsi"/>
          <w:sz w:val="22"/>
          <w:szCs w:val="22"/>
        </w:rPr>
        <w:t>s standards address occupant well-being through specific requirements for daylighting, indoor air quality, and thermal comfort (UC Berkeley, 2023). The University of Toronto quantifies the carbon sequestration benefits of campus trees and emphasizes the ecosystem services they provide (University of Toronto, 2020).</w:t>
      </w:r>
    </w:p>
    <w:p w14:paraId="3B4828CD"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Water conservation is another key consideration, with UC Berkeley mandating a 40% reduction in indoor water use for new buildings (UC Berkeley, 2023). Humber College and the University of Waterloo have equally set ambitious water efficiency targets.</w:t>
      </w:r>
    </w:p>
    <w:p w14:paraId="5A520E3F"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These holistic approaches help maximize the overall sustainability benefits of green building initiatives while potentially improving occupant satisfaction and productivity.</w:t>
      </w:r>
    </w:p>
    <w:p w14:paraId="18F9758F" w14:textId="77777777" w:rsidR="00052B3F" w:rsidRPr="001C3428" w:rsidRDefault="00052B3F" w:rsidP="001C3428">
      <w:pPr>
        <w:pStyle w:val="Heading2"/>
      </w:pPr>
      <w:bookmarkStart w:id="46" w:name="_Toc202743011"/>
      <w:r w:rsidRPr="001C3428">
        <w:lastRenderedPageBreak/>
        <w:t>Financing and Governance Mechanisms</w:t>
      </w:r>
      <w:bookmarkEnd w:id="46"/>
    </w:p>
    <w:p w14:paraId="351FAD4A" w14:textId="5975EBB0"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A review of York University</w:t>
      </w:r>
      <w:r w:rsidR="00027B17">
        <w:rPr>
          <w:rFonts w:asciiTheme="minorHAnsi" w:hAnsiTheme="minorHAnsi"/>
          <w:sz w:val="22"/>
          <w:szCs w:val="22"/>
        </w:rPr>
        <w:t>’</w:t>
      </w:r>
      <w:r w:rsidRPr="00D06382">
        <w:rPr>
          <w:rFonts w:asciiTheme="minorHAnsi" w:hAnsiTheme="minorHAnsi"/>
          <w:sz w:val="22"/>
          <w:szCs w:val="22"/>
        </w:rPr>
        <w:t>s peer institutions also reveals innovative financing and governance mechanisms, which are critical to implementing ambitious green building strategies. The University of Toronto</w:t>
      </w:r>
      <w:r w:rsidR="00027B17">
        <w:rPr>
          <w:rFonts w:asciiTheme="minorHAnsi" w:hAnsiTheme="minorHAnsi"/>
          <w:sz w:val="22"/>
          <w:szCs w:val="22"/>
        </w:rPr>
        <w:t>’</w:t>
      </w:r>
      <w:r w:rsidRPr="00D06382">
        <w:rPr>
          <w:rFonts w:asciiTheme="minorHAnsi" w:hAnsiTheme="minorHAnsi"/>
          <w:sz w:val="22"/>
          <w:szCs w:val="22"/>
        </w:rPr>
        <w:t>s $8.5 million Utilities Reduction Revolving Fund allows energy savings to be reinvested in further conservation projects (University of Toronto, 2019). The University of Waterloo is in the process of creating a Strategic Implementation Network of industry partners to access global expertise and potentially innovative financing models (University of Waterloo, 2019).</w:t>
      </w:r>
    </w:p>
    <w:p w14:paraId="1B47CE85"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Strong governance structures are also apparent. For instance, UC Berkeley mandates sustainability workshops during design and reviews through construction for all major projects (UC Berkeley, 2020). The University of Toronto has established a Committee on the Environment, Climate Change, and Sustainability to guide the implementation of its low-carbon plan (University of Toronto, 2020).</w:t>
      </w:r>
    </w:p>
    <w:p w14:paraId="2CCA879A" w14:textId="77777777" w:rsidR="00052B3F" w:rsidRPr="001C3428" w:rsidRDefault="00052B3F" w:rsidP="001C3428">
      <w:pPr>
        <w:pStyle w:val="Heading2"/>
      </w:pPr>
      <w:bookmarkStart w:id="47" w:name="_Toc202743012"/>
      <w:r w:rsidRPr="001C3428">
        <w:t>Lessons Learned</w:t>
      </w:r>
      <w:bookmarkEnd w:id="47"/>
    </w:p>
    <w:p w14:paraId="70C0FD21" w14:textId="35BDBD4B"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Following the review of York University</w:t>
      </w:r>
      <w:r w:rsidR="00027B17">
        <w:rPr>
          <w:rFonts w:asciiTheme="minorHAnsi" w:hAnsiTheme="minorHAnsi"/>
          <w:sz w:val="22"/>
          <w:szCs w:val="22"/>
        </w:rPr>
        <w:t>’</w:t>
      </w:r>
      <w:r w:rsidRPr="00D06382">
        <w:rPr>
          <w:rFonts w:asciiTheme="minorHAnsi" w:hAnsiTheme="minorHAnsi"/>
          <w:sz w:val="22"/>
          <w:szCs w:val="22"/>
        </w:rPr>
        <w:t>s peer institutions</w:t>
      </w:r>
      <w:r w:rsidR="00027B17">
        <w:rPr>
          <w:rFonts w:asciiTheme="minorHAnsi" w:hAnsiTheme="minorHAnsi"/>
          <w:sz w:val="22"/>
          <w:szCs w:val="22"/>
        </w:rPr>
        <w:t>’</w:t>
      </w:r>
      <w:r w:rsidRPr="00D06382">
        <w:rPr>
          <w:rFonts w:asciiTheme="minorHAnsi" w:hAnsiTheme="minorHAnsi"/>
          <w:sz w:val="22"/>
          <w:szCs w:val="22"/>
        </w:rPr>
        <w:t xml:space="preserve"> strategies, several key learnings emerge that can be leveraged for a bespoke green building strategy:</w:t>
      </w:r>
    </w:p>
    <w:p w14:paraId="36BBC131" w14:textId="77777777" w:rsidR="00052B3F" w:rsidRPr="00D06382" w:rsidRDefault="00052B3F" w:rsidP="007D5ACF">
      <w:pPr>
        <w:pStyle w:val="whitespace-pre-wrap"/>
        <w:numPr>
          <w:ilvl w:val="0"/>
          <w:numId w:val="16"/>
        </w:numPr>
        <w:jc w:val="both"/>
        <w:rPr>
          <w:rFonts w:asciiTheme="minorHAnsi" w:hAnsiTheme="minorHAnsi"/>
          <w:sz w:val="22"/>
          <w:szCs w:val="22"/>
        </w:rPr>
      </w:pPr>
      <w:r w:rsidRPr="00D06382">
        <w:rPr>
          <w:rFonts w:asciiTheme="minorHAnsi" w:hAnsiTheme="minorHAnsi"/>
          <w:sz w:val="22"/>
          <w:szCs w:val="22"/>
        </w:rPr>
        <w:t>Set ambitious but achievable targets with clear interim milestones and implementation roadmaps.</w:t>
      </w:r>
    </w:p>
    <w:p w14:paraId="5BEF4559"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Adopt a comprehensive systems approach addressing energy production, distribution, and consumption.</w:t>
      </w:r>
    </w:p>
    <w:p w14:paraId="05444B4A"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Leverage academic expertise through initiatives that integrate research and operations.</w:t>
      </w:r>
    </w:p>
    <w:p w14:paraId="28091533"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Pilot innovative technologies and approaches using the campus as a living laboratory.</w:t>
      </w:r>
    </w:p>
    <w:p w14:paraId="7F7F0BA8"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Consider holistic sustainability benefits beyond just GHG emissions reduction.</w:t>
      </w:r>
    </w:p>
    <w:p w14:paraId="47EF2CD5"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Implement supportive financing mechanisms and governance structures.</w:t>
      </w:r>
    </w:p>
    <w:p w14:paraId="3D97CA82"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Emphasize deep energy retrofits of existing buildings alongside high-performance new construction.</w:t>
      </w:r>
    </w:p>
    <w:p w14:paraId="0340C2FC"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Transition to low-carbon energy sources, particularly geo-exchange and solar PV.</w:t>
      </w:r>
    </w:p>
    <w:p w14:paraId="6684E448"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Adopt, optimize, and expand district energy systems where feasible.</w:t>
      </w:r>
    </w:p>
    <w:p w14:paraId="13369AD8"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Implement smart building controls and energy management systems.</w:t>
      </w:r>
    </w:p>
    <w:p w14:paraId="30DEFE2D" w14:textId="77777777" w:rsidR="00052B3F" w:rsidRPr="00D06382" w:rsidRDefault="00052B3F" w:rsidP="007D5ACF">
      <w:pPr>
        <w:pStyle w:val="whitespace-normal"/>
        <w:numPr>
          <w:ilvl w:val="0"/>
          <w:numId w:val="16"/>
        </w:numPr>
        <w:jc w:val="both"/>
        <w:rPr>
          <w:rFonts w:asciiTheme="minorHAnsi" w:hAnsiTheme="minorHAnsi"/>
          <w:sz w:val="22"/>
          <w:szCs w:val="22"/>
        </w:rPr>
      </w:pPr>
      <w:r w:rsidRPr="00D06382">
        <w:rPr>
          <w:rFonts w:asciiTheme="minorHAnsi" w:hAnsiTheme="minorHAnsi"/>
          <w:sz w:val="22"/>
          <w:szCs w:val="22"/>
        </w:rPr>
        <w:t>Focus on electrification and eliminating on-site fossil fuel combustion where possible.</w:t>
      </w:r>
    </w:p>
    <w:p w14:paraId="75C9D68B"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color w:val="000000" w:themeColor="text1"/>
          <w:sz w:val="22"/>
          <w:szCs w:val="22"/>
        </w:rPr>
        <w:t xml:space="preserve">Incorporating these learnings can help </w:t>
      </w:r>
      <w:r w:rsidRPr="00D06382">
        <w:rPr>
          <w:rFonts w:asciiTheme="minorHAnsi" w:hAnsiTheme="minorHAnsi"/>
          <w:sz w:val="22"/>
          <w:szCs w:val="22"/>
        </w:rPr>
        <w:t xml:space="preserve">York University develop a robust green building strategy that drives significant emissions reductions while providing educational opportunities and demonstrating institutional leadership on sustainability. </w:t>
      </w:r>
    </w:p>
    <w:p w14:paraId="5B38764D" w14:textId="77777777" w:rsidR="00052B3F" w:rsidRPr="001C3428" w:rsidRDefault="00052B3F" w:rsidP="001C3428">
      <w:pPr>
        <w:pStyle w:val="Heading1"/>
      </w:pPr>
      <w:bookmarkStart w:id="48" w:name="_Toc202743013"/>
      <w:r w:rsidRPr="001C3428">
        <w:lastRenderedPageBreak/>
        <w:t>Net Zero Building Standard for York University</w:t>
      </w:r>
      <w:bookmarkEnd w:id="48"/>
    </w:p>
    <w:p w14:paraId="201F3FB7" w14:textId="77777777" w:rsidR="00052B3F" w:rsidRPr="00645EE3" w:rsidRDefault="00052B3F" w:rsidP="00645EE3">
      <w:pPr>
        <w:pStyle w:val="Heading2"/>
      </w:pPr>
      <w:bookmarkStart w:id="49" w:name="_Toc202743014"/>
      <w:r w:rsidRPr="00645EE3">
        <w:t>Contextualizing the Net Zero Building Standard</w:t>
      </w:r>
      <w:bookmarkEnd w:id="49"/>
      <w:r w:rsidRPr="00645EE3">
        <w:t xml:space="preserve"> </w:t>
      </w:r>
    </w:p>
    <w:p w14:paraId="69DC1DDA" w14:textId="0339BAA2"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This proposed Net Zero Building Standard for York University is tailored to address the institution</w:t>
      </w:r>
      <w:r w:rsidR="00027B17">
        <w:rPr>
          <w:rFonts w:asciiTheme="minorHAnsi" w:hAnsiTheme="minorHAnsi"/>
          <w:sz w:val="22"/>
          <w:szCs w:val="22"/>
        </w:rPr>
        <w:t>’</w:t>
      </w:r>
      <w:r w:rsidRPr="00D06382">
        <w:rPr>
          <w:rFonts w:asciiTheme="minorHAnsi" w:hAnsiTheme="minorHAnsi"/>
          <w:sz w:val="22"/>
          <w:szCs w:val="22"/>
        </w:rPr>
        <w:t>s unique challenges and capitalize on its distinct opportunities. This contextualization ensures that the standard meets global best practices and aligns with York</w:t>
      </w:r>
      <w:r w:rsidR="00027B17">
        <w:rPr>
          <w:rFonts w:asciiTheme="minorHAnsi" w:hAnsiTheme="minorHAnsi"/>
          <w:sz w:val="22"/>
          <w:szCs w:val="22"/>
        </w:rPr>
        <w:t>’</w:t>
      </w:r>
      <w:r w:rsidRPr="00D06382">
        <w:rPr>
          <w:rFonts w:asciiTheme="minorHAnsi" w:hAnsiTheme="minorHAnsi"/>
          <w:sz w:val="22"/>
          <w:szCs w:val="22"/>
        </w:rPr>
        <w:t>s specific circumstances and aspirations.</w:t>
      </w:r>
    </w:p>
    <w:p w14:paraId="3C723440" w14:textId="616BC2A3"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Addressing York</w:t>
      </w:r>
      <w:r w:rsidR="00027B17">
        <w:rPr>
          <w:rFonts w:asciiTheme="minorHAnsi" w:hAnsiTheme="minorHAnsi"/>
          <w:b/>
          <w:bCs/>
          <w:sz w:val="22"/>
          <w:szCs w:val="22"/>
        </w:rPr>
        <w:t>’</w:t>
      </w:r>
      <w:r w:rsidRPr="00D06382">
        <w:rPr>
          <w:rFonts w:asciiTheme="minorHAnsi" w:hAnsiTheme="minorHAnsi"/>
          <w:b/>
          <w:bCs/>
          <w:sz w:val="22"/>
          <w:szCs w:val="22"/>
        </w:rPr>
        <w:t>s Unique Challenges</w:t>
      </w:r>
    </w:p>
    <w:p w14:paraId="044B3EFD" w14:textId="77777777" w:rsidR="00052B3F" w:rsidRPr="00D06382" w:rsidRDefault="00052B3F" w:rsidP="007D5ACF">
      <w:pPr>
        <w:pStyle w:val="whitespace-pre-wrap"/>
        <w:numPr>
          <w:ilvl w:val="0"/>
          <w:numId w:val="62"/>
        </w:numPr>
        <w:jc w:val="both"/>
        <w:rPr>
          <w:rFonts w:asciiTheme="minorHAnsi" w:hAnsiTheme="minorHAnsi"/>
          <w:sz w:val="22"/>
          <w:szCs w:val="22"/>
        </w:rPr>
      </w:pPr>
      <w:r w:rsidRPr="00D06382">
        <w:rPr>
          <w:rFonts w:asciiTheme="minorHAnsi" w:hAnsiTheme="minorHAnsi"/>
          <w:sz w:val="22"/>
          <w:szCs w:val="22"/>
        </w:rPr>
        <w:t>Aging Infrastructure: York University, established in 1959, faces the challenge of modernizing its older buildings. The proposed standard addresses this by setting ambitious yet achievable targets for existing building retrofits. These targets balance significant energy improvements and the practical limitations of retrofitting older structures.</w:t>
      </w:r>
    </w:p>
    <w:p w14:paraId="55BC2B2D" w14:textId="4BB0D3F8" w:rsidR="00052B3F" w:rsidRPr="00D06382" w:rsidRDefault="00052B3F" w:rsidP="007D5ACF">
      <w:pPr>
        <w:pStyle w:val="whitespace-pre-wrap"/>
        <w:numPr>
          <w:ilvl w:val="0"/>
          <w:numId w:val="62"/>
        </w:numPr>
        <w:jc w:val="both"/>
        <w:rPr>
          <w:rFonts w:asciiTheme="minorHAnsi" w:hAnsiTheme="minorHAnsi"/>
          <w:sz w:val="22"/>
          <w:szCs w:val="22"/>
        </w:rPr>
      </w:pPr>
      <w:r w:rsidRPr="00D06382">
        <w:rPr>
          <w:rFonts w:asciiTheme="minorHAnsi" w:hAnsiTheme="minorHAnsi"/>
          <w:sz w:val="22"/>
          <w:szCs w:val="22"/>
        </w:rPr>
        <w:t>Climate Resilience: York</w:t>
      </w:r>
      <w:r w:rsidR="00027B17">
        <w:rPr>
          <w:rFonts w:asciiTheme="minorHAnsi" w:hAnsiTheme="minorHAnsi"/>
          <w:sz w:val="22"/>
          <w:szCs w:val="22"/>
        </w:rPr>
        <w:t>’</w:t>
      </w:r>
      <w:r w:rsidRPr="00D06382">
        <w:rPr>
          <w:rFonts w:asciiTheme="minorHAnsi" w:hAnsiTheme="minorHAnsi"/>
          <w:sz w:val="22"/>
          <w:szCs w:val="22"/>
        </w:rPr>
        <w:t>s location makes it susceptible to urban heat island effects and potential flooding. The standard incorporates specific resilience measures tailored to these local climate risks, such as stormwater management requirements and heat resilience strategies.</w:t>
      </w:r>
    </w:p>
    <w:p w14:paraId="2ED15130" w14:textId="529ABFC4"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Capitalizing on York</w:t>
      </w:r>
      <w:r w:rsidR="00027B17">
        <w:rPr>
          <w:rFonts w:asciiTheme="minorHAnsi" w:hAnsiTheme="minorHAnsi"/>
          <w:b/>
          <w:bCs/>
          <w:sz w:val="22"/>
          <w:szCs w:val="22"/>
        </w:rPr>
        <w:t>’</w:t>
      </w:r>
      <w:r w:rsidRPr="00D06382">
        <w:rPr>
          <w:rFonts w:asciiTheme="minorHAnsi" w:hAnsiTheme="minorHAnsi"/>
          <w:b/>
          <w:bCs/>
          <w:sz w:val="22"/>
          <w:szCs w:val="22"/>
        </w:rPr>
        <w:t>s Opportunities</w:t>
      </w:r>
    </w:p>
    <w:p w14:paraId="2F24713C" w14:textId="77777777" w:rsidR="00052B3F" w:rsidRPr="00D06382" w:rsidRDefault="00052B3F" w:rsidP="007D5ACF">
      <w:pPr>
        <w:pStyle w:val="whitespace-pre-wrap"/>
        <w:numPr>
          <w:ilvl w:val="0"/>
          <w:numId w:val="61"/>
        </w:numPr>
        <w:jc w:val="both"/>
        <w:rPr>
          <w:rFonts w:asciiTheme="minorHAnsi" w:hAnsiTheme="minorHAnsi"/>
          <w:sz w:val="22"/>
          <w:szCs w:val="22"/>
        </w:rPr>
      </w:pPr>
      <w:r w:rsidRPr="00D06382">
        <w:rPr>
          <w:rFonts w:asciiTheme="minorHAnsi" w:hAnsiTheme="minorHAnsi"/>
          <w:sz w:val="22"/>
          <w:szCs w:val="22"/>
        </w:rPr>
        <w:t>Research Excellence: York University is renowned for its interdisciplinary research, particularly in environmental studies and sustainability. The standard leverages this strength by incorporating requirements for integrating building performance into academic curricula and research activities. This could create unique learning opportunities for students and faculty while advancing the field of sustainable building design.</w:t>
      </w:r>
    </w:p>
    <w:p w14:paraId="2418D9A0" w14:textId="5C2143DA" w:rsidR="00052B3F" w:rsidRPr="00D06382" w:rsidRDefault="00052B3F" w:rsidP="007D5ACF">
      <w:pPr>
        <w:pStyle w:val="whitespace-pre-wrap"/>
        <w:numPr>
          <w:ilvl w:val="0"/>
          <w:numId w:val="61"/>
        </w:numPr>
        <w:jc w:val="both"/>
        <w:rPr>
          <w:rFonts w:asciiTheme="minorHAnsi" w:hAnsiTheme="minorHAnsi"/>
          <w:sz w:val="22"/>
          <w:szCs w:val="22"/>
        </w:rPr>
      </w:pPr>
      <w:r w:rsidRPr="00D06382">
        <w:rPr>
          <w:rFonts w:asciiTheme="minorHAnsi" w:hAnsiTheme="minorHAnsi"/>
          <w:sz w:val="22"/>
          <w:szCs w:val="22"/>
        </w:rPr>
        <w:t>Large Campus Area: York</w:t>
      </w:r>
      <w:r w:rsidR="00027B17">
        <w:rPr>
          <w:rFonts w:asciiTheme="minorHAnsi" w:hAnsiTheme="minorHAnsi"/>
          <w:sz w:val="22"/>
          <w:szCs w:val="22"/>
        </w:rPr>
        <w:t>’</w:t>
      </w:r>
      <w:r w:rsidRPr="00D06382">
        <w:rPr>
          <w:rFonts w:asciiTheme="minorHAnsi" w:hAnsiTheme="minorHAnsi"/>
          <w:sz w:val="22"/>
          <w:szCs w:val="22"/>
        </w:rPr>
        <w:t>s expansive campus provides opportunities for large-scale sustainability initiatives. The standard capitalizes on this by setting ambitious targets for on-site renewable energy generation and emphasizing green infrastructure like bioswales and extensive green roofs.</w:t>
      </w:r>
    </w:p>
    <w:p w14:paraId="686185E5" w14:textId="77777777" w:rsidR="00052B3F" w:rsidRPr="00D06382" w:rsidRDefault="00052B3F" w:rsidP="007D5ACF">
      <w:pPr>
        <w:pStyle w:val="whitespace-pre-wrap"/>
        <w:numPr>
          <w:ilvl w:val="0"/>
          <w:numId w:val="61"/>
        </w:numPr>
        <w:jc w:val="both"/>
        <w:rPr>
          <w:rFonts w:asciiTheme="minorHAnsi" w:hAnsiTheme="minorHAnsi"/>
          <w:sz w:val="22"/>
          <w:szCs w:val="22"/>
        </w:rPr>
      </w:pPr>
      <w:r w:rsidRPr="00D06382">
        <w:rPr>
          <w:rFonts w:asciiTheme="minorHAnsi" w:hAnsiTheme="minorHAnsi"/>
          <w:sz w:val="22"/>
          <w:szCs w:val="22"/>
        </w:rPr>
        <w:t>Diverse Building Types: The variety of building types on campus (from classrooms to laboratories to residences) allows for a comprehensive approach to sustainability. The standard addresses this diversity by providing specific energy performance targets for different building types, ensuring that each structure is optimized for its particular use.</w:t>
      </w:r>
    </w:p>
    <w:p w14:paraId="005A99EE" w14:textId="2F7C86D4" w:rsidR="00052B3F" w:rsidRPr="00D06382" w:rsidRDefault="00052B3F" w:rsidP="007D5ACF">
      <w:pPr>
        <w:pStyle w:val="whitespace-pre-wrap"/>
        <w:numPr>
          <w:ilvl w:val="0"/>
          <w:numId w:val="61"/>
        </w:numPr>
        <w:jc w:val="both"/>
        <w:rPr>
          <w:rFonts w:asciiTheme="minorHAnsi" w:hAnsiTheme="minorHAnsi"/>
          <w:sz w:val="22"/>
          <w:szCs w:val="22"/>
        </w:rPr>
      </w:pPr>
      <w:r w:rsidRPr="00D06382">
        <w:rPr>
          <w:rFonts w:asciiTheme="minorHAnsi" w:hAnsiTheme="minorHAnsi"/>
          <w:sz w:val="22"/>
          <w:szCs w:val="22"/>
        </w:rPr>
        <w:t>Community Engagement: York</w:t>
      </w:r>
      <w:r w:rsidR="00027B17">
        <w:rPr>
          <w:rFonts w:asciiTheme="minorHAnsi" w:hAnsiTheme="minorHAnsi"/>
          <w:sz w:val="22"/>
          <w:szCs w:val="22"/>
        </w:rPr>
        <w:t>’</w:t>
      </w:r>
      <w:r w:rsidRPr="00D06382">
        <w:rPr>
          <w:rFonts w:asciiTheme="minorHAnsi" w:hAnsiTheme="minorHAnsi"/>
          <w:sz w:val="22"/>
          <w:szCs w:val="22"/>
        </w:rPr>
        <w:t>s strong tradition of community engagement is reflected in the standard</w:t>
      </w:r>
      <w:r w:rsidR="00027B17">
        <w:rPr>
          <w:rFonts w:asciiTheme="minorHAnsi" w:hAnsiTheme="minorHAnsi"/>
          <w:sz w:val="22"/>
          <w:szCs w:val="22"/>
        </w:rPr>
        <w:t>’</w:t>
      </w:r>
      <w:r w:rsidRPr="00D06382">
        <w:rPr>
          <w:rFonts w:asciiTheme="minorHAnsi" w:hAnsiTheme="minorHAnsi"/>
          <w:sz w:val="22"/>
          <w:szCs w:val="22"/>
        </w:rPr>
        <w:t>s emphasis on occupant health, well-being, and engagement in sustainability efforts. This includes requirements for indoor air quality, thermal comfort, and user-controlled systems, which align with York</w:t>
      </w:r>
      <w:r w:rsidR="00027B17">
        <w:rPr>
          <w:rFonts w:asciiTheme="minorHAnsi" w:hAnsiTheme="minorHAnsi"/>
          <w:sz w:val="22"/>
          <w:szCs w:val="22"/>
        </w:rPr>
        <w:t>’</w:t>
      </w:r>
      <w:r w:rsidRPr="00D06382">
        <w:rPr>
          <w:rFonts w:asciiTheme="minorHAnsi" w:hAnsiTheme="minorHAnsi"/>
          <w:sz w:val="22"/>
          <w:szCs w:val="22"/>
        </w:rPr>
        <w:t>s commitment to creating a positive campus environment.</w:t>
      </w:r>
    </w:p>
    <w:p w14:paraId="2ECFFCFA" w14:textId="4731D148" w:rsidR="00052B3F" w:rsidRPr="00D06382" w:rsidRDefault="00052B3F" w:rsidP="007D5ACF">
      <w:pPr>
        <w:pStyle w:val="whitespace-pre-wrap"/>
        <w:numPr>
          <w:ilvl w:val="0"/>
          <w:numId w:val="61"/>
        </w:numPr>
        <w:jc w:val="both"/>
        <w:rPr>
          <w:rFonts w:asciiTheme="minorHAnsi" w:hAnsiTheme="minorHAnsi"/>
          <w:sz w:val="22"/>
          <w:szCs w:val="22"/>
        </w:rPr>
      </w:pPr>
      <w:r w:rsidRPr="00D06382">
        <w:rPr>
          <w:rFonts w:asciiTheme="minorHAnsi" w:hAnsiTheme="minorHAnsi"/>
          <w:sz w:val="22"/>
          <w:szCs w:val="22"/>
        </w:rPr>
        <w:t>Sustainability Leadership: As an institution committed to sustainability, York can set new benchmarks in green building design. The standard</w:t>
      </w:r>
      <w:r w:rsidR="00027B17">
        <w:rPr>
          <w:rFonts w:asciiTheme="minorHAnsi" w:hAnsiTheme="minorHAnsi"/>
          <w:sz w:val="22"/>
          <w:szCs w:val="22"/>
        </w:rPr>
        <w:t>’</w:t>
      </w:r>
      <w:r w:rsidRPr="00D06382">
        <w:rPr>
          <w:rFonts w:asciiTheme="minorHAnsi" w:hAnsiTheme="minorHAnsi"/>
          <w:sz w:val="22"/>
          <w:szCs w:val="22"/>
        </w:rPr>
        <w:t xml:space="preserve">s ambitious targets, such as LEED </w:t>
      </w:r>
      <w:r w:rsidRPr="00D06382">
        <w:rPr>
          <w:rFonts w:asciiTheme="minorHAnsi" w:hAnsiTheme="minorHAnsi"/>
          <w:sz w:val="22"/>
          <w:szCs w:val="22"/>
        </w:rPr>
        <w:lastRenderedPageBreak/>
        <w:t>Platinum certification for all new buildings and major renovations, position York as a leader among Canadian universities in sustainable campus development</w:t>
      </w:r>
    </w:p>
    <w:p w14:paraId="58431577" w14:textId="0EDE9569" w:rsidR="007F479B"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Also, aligning the proposed green building strategy with THE Impact Rankings criteria could enhance York University</w:t>
      </w:r>
      <w:r w:rsidR="00027B17">
        <w:rPr>
          <w:rFonts w:asciiTheme="minorHAnsi" w:hAnsiTheme="minorHAnsi"/>
          <w:sz w:val="22"/>
          <w:szCs w:val="22"/>
        </w:rPr>
        <w:t>’</w:t>
      </w:r>
      <w:r w:rsidRPr="00D06382">
        <w:rPr>
          <w:rFonts w:asciiTheme="minorHAnsi" w:hAnsiTheme="minorHAnsi"/>
          <w:sz w:val="22"/>
          <w:szCs w:val="22"/>
        </w:rPr>
        <w:t>s global sustainability standing, particularly in SDGs 7 (Affordable and Clean Energy), 11 (Sustainable Cities and Communities), and 13 (Climate Action).</w:t>
      </w:r>
    </w:p>
    <w:p w14:paraId="4760F70C" w14:textId="137A0ECE" w:rsidR="00052B3F" w:rsidRPr="00645EE3" w:rsidRDefault="00052B3F" w:rsidP="00645EE3">
      <w:pPr>
        <w:pStyle w:val="Heading2"/>
      </w:pPr>
      <w:bookmarkStart w:id="50" w:name="_Toc202743015"/>
      <w:r w:rsidRPr="00645EE3">
        <w:t>Proposed Framework for York University Net Zero Building St</w:t>
      </w:r>
      <w:r w:rsidR="00645EE3">
        <w:t>rategy</w:t>
      </w:r>
      <w:bookmarkEnd w:id="50"/>
    </w:p>
    <w:p w14:paraId="6DF25CB3" w14:textId="0A2CA660"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Based on the review of the identified green building standards and practices at peer institutions, the following framework is proposed for a comprehensive net zero building standard tailored for York University. This will align with and/or exceed the TGS</w:t>
      </w:r>
      <w:r w:rsidR="009C3F4F">
        <w:rPr>
          <w:rFonts w:asciiTheme="minorHAnsi" w:hAnsiTheme="minorHAnsi"/>
          <w:sz w:val="22"/>
          <w:szCs w:val="22"/>
        </w:rPr>
        <w:t xml:space="preserve"> v4</w:t>
      </w:r>
      <w:r w:rsidRPr="00D06382">
        <w:rPr>
          <w:rFonts w:asciiTheme="minorHAnsi" w:hAnsiTheme="minorHAnsi"/>
          <w:sz w:val="22"/>
          <w:szCs w:val="22"/>
        </w:rPr>
        <w:t>.</w:t>
      </w:r>
    </w:p>
    <w:p w14:paraId="05DB3AF6" w14:textId="3B7AC2C7" w:rsidR="00052B3F" w:rsidRPr="00D06382" w:rsidRDefault="00052B3F" w:rsidP="00052B3F">
      <w:pPr>
        <w:pStyle w:val="Caption"/>
        <w:jc w:val="center"/>
        <w:rPr>
          <w:rFonts w:asciiTheme="minorHAnsi" w:hAnsiTheme="minorHAnsi" w:cs="Times New Roman"/>
          <w:i/>
          <w:color w:val="AF1F24" w:themeColor="text2"/>
          <w:sz w:val="22"/>
          <w:szCs w:val="22"/>
        </w:rPr>
      </w:pPr>
      <w:r w:rsidRPr="00D06382">
        <w:rPr>
          <w:rFonts w:asciiTheme="minorHAnsi" w:hAnsiTheme="minorHAnsi" w:cs="Times New Roman"/>
          <w:b/>
          <w:bCs/>
          <w:color w:val="AF1F24" w:themeColor="text2"/>
          <w:sz w:val="22"/>
          <w:szCs w:val="22"/>
        </w:rPr>
        <w:t xml:space="preserve">Table </w:t>
      </w:r>
      <w:r w:rsidRPr="00D06382">
        <w:rPr>
          <w:rFonts w:asciiTheme="minorHAnsi" w:hAnsiTheme="minorHAnsi" w:cs="Times New Roman"/>
          <w:b/>
          <w:bCs/>
          <w:color w:val="AF1F24" w:themeColor="text2"/>
          <w:sz w:val="22"/>
          <w:szCs w:val="22"/>
        </w:rPr>
        <w:fldChar w:fldCharType="begin"/>
      </w:r>
      <w:r w:rsidRPr="00D06382">
        <w:rPr>
          <w:rFonts w:asciiTheme="minorHAnsi" w:hAnsiTheme="minorHAnsi" w:cs="Times New Roman"/>
          <w:b/>
          <w:bCs/>
          <w:color w:val="AF1F24" w:themeColor="text2"/>
          <w:sz w:val="22"/>
          <w:szCs w:val="22"/>
        </w:rPr>
        <w:instrText xml:space="preserve"> SEQ Table \* ARABIC </w:instrText>
      </w:r>
      <w:r w:rsidRPr="00D06382">
        <w:rPr>
          <w:rFonts w:asciiTheme="minorHAnsi" w:hAnsiTheme="minorHAnsi" w:cs="Times New Roman"/>
          <w:b/>
          <w:bCs/>
          <w:color w:val="AF1F24" w:themeColor="text2"/>
          <w:sz w:val="22"/>
          <w:szCs w:val="22"/>
        </w:rPr>
        <w:fldChar w:fldCharType="separate"/>
      </w:r>
      <w:r w:rsidR="007E61A3">
        <w:rPr>
          <w:rFonts w:asciiTheme="minorHAnsi" w:hAnsiTheme="minorHAnsi" w:cs="Times New Roman"/>
          <w:b/>
          <w:bCs/>
          <w:noProof/>
          <w:color w:val="AF1F24" w:themeColor="text2"/>
          <w:sz w:val="22"/>
          <w:szCs w:val="22"/>
        </w:rPr>
        <w:t>3</w:t>
      </w:r>
      <w:r w:rsidRPr="00D06382">
        <w:rPr>
          <w:rFonts w:asciiTheme="minorHAnsi" w:hAnsiTheme="minorHAnsi" w:cs="Times New Roman"/>
          <w:b/>
          <w:bCs/>
          <w:color w:val="AF1F24" w:themeColor="text2"/>
          <w:sz w:val="22"/>
          <w:szCs w:val="22"/>
        </w:rPr>
        <w:fldChar w:fldCharType="end"/>
      </w:r>
      <w:r w:rsidRPr="00D06382">
        <w:rPr>
          <w:rFonts w:asciiTheme="minorHAnsi" w:hAnsiTheme="minorHAnsi" w:cs="Times New Roman"/>
          <w:b/>
          <w:bCs/>
          <w:color w:val="AF1F24" w:themeColor="text2"/>
          <w:sz w:val="22"/>
          <w:szCs w:val="22"/>
        </w:rPr>
        <w:t>: Overview of Proposed Green Building Standard for York University</w:t>
      </w:r>
    </w:p>
    <w:tbl>
      <w:tblPr>
        <w:tblStyle w:val="TableGrid"/>
        <w:tblW w:w="10060" w:type="dxa"/>
        <w:tblLook w:val="04A0" w:firstRow="1" w:lastRow="0" w:firstColumn="1" w:lastColumn="0" w:noHBand="0" w:noVBand="1"/>
      </w:tblPr>
      <w:tblGrid>
        <w:gridCol w:w="1696"/>
        <w:gridCol w:w="5103"/>
        <w:gridCol w:w="3261"/>
      </w:tblGrid>
      <w:tr w:rsidR="00052B3F" w:rsidRPr="008F0BE0" w14:paraId="386C573D" w14:textId="77777777" w:rsidTr="008F0BE0">
        <w:tc>
          <w:tcPr>
            <w:tcW w:w="1696" w:type="dxa"/>
          </w:tcPr>
          <w:p w14:paraId="4671B3A0" w14:textId="77777777" w:rsidR="00052B3F" w:rsidRPr="008F0BE0" w:rsidRDefault="00052B3F" w:rsidP="008F0BE0">
            <w:pPr>
              <w:rPr>
                <w:rFonts w:cs="Times New Roman"/>
                <w:b/>
                <w:bCs/>
                <w:sz w:val="18"/>
                <w:szCs w:val="18"/>
              </w:rPr>
            </w:pPr>
            <w:r w:rsidRPr="008F0BE0">
              <w:rPr>
                <w:rFonts w:cs="Times New Roman"/>
                <w:b/>
                <w:bCs/>
                <w:sz w:val="18"/>
                <w:szCs w:val="18"/>
              </w:rPr>
              <w:t>Category</w:t>
            </w:r>
          </w:p>
        </w:tc>
        <w:tc>
          <w:tcPr>
            <w:tcW w:w="5103" w:type="dxa"/>
          </w:tcPr>
          <w:p w14:paraId="1304ED2D" w14:textId="77777777" w:rsidR="00052B3F" w:rsidRPr="008F0BE0" w:rsidRDefault="00052B3F" w:rsidP="008F0BE0">
            <w:pPr>
              <w:rPr>
                <w:rFonts w:cs="Times New Roman"/>
                <w:b/>
                <w:bCs/>
                <w:sz w:val="18"/>
                <w:szCs w:val="18"/>
              </w:rPr>
            </w:pPr>
            <w:r w:rsidRPr="008F0BE0">
              <w:rPr>
                <w:rFonts w:cs="Times New Roman"/>
                <w:b/>
                <w:bCs/>
                <w:sz w:val="18"/>
                <w:szCs w:val="18"/>
              </w:rPr>
              <w:t>Specifications/Targets</w:t>
            </w:r>
          </w:p>
        </w:tc>
        <w:tc>
          <w:tcPr>
            <w:tcW w:w="3261" w:type="dxa"/>
          </w:tcPr>
          <w:p w14:paraId="3F0B87FA" w14:textId="77777777" w:rsidR="00052B3F" w:rsidRPr="008F0BE0" w:rsidRDefault="00052B3F" w:rsidP="008F0BE0">
            <w:pPr>
              <w:rPr>
                <w:rFonts w:cs="Times New Roman"/>
                <w:b/>
                <w:bCs/>
                <w:sz w:val="18"/>
                <w:szCs w:val="18"/>
              </w:rPr>
            </w:pPr>
            <w:r w:rsidRPr="008F0BE0">
              <w:rPr>
                <w:rFonts w:cs="Times New Roman"/>
                <w:b/>
                <w:bCs/>
                <w:sz w:val="18"/>
                <w:szCs w:val="18"/>
              </w:rPr>
              <w:t>Alignment</w:t>
            </w:r>
          </w:p>
        </w:tc>
      </w:tr>
      <w:tr w:rsidR="00052B3F" w:rsidRPr="008F0BE0" w14:paraId="643A7FE6" w14:textId="77777777" w:rsidTr="008F0BE0">
        <w:tc>
          <w:tcPr>
            <w:tcW w:w="1696" w:type="dxa"/>
            <w:vMerge w:val="restart"/>
          </w:tcPr>
          <w:p w14:paraId="2F5B9BB3" w14:textId="77777777" w:rsidR="00052B3F" w:rsidRPr="008F0BE0" w:rsidRDefault="00052B3F" w:rsidP="008F0BE0">
            <w:pPr>
              <w:rPr>
                <w:rFonts w:cs="Times New Roman"/>
                <w:sz w:val="18"/>
                <w:szCs w:val="18"/>
              </w:rPr>
            </w:pPr>
            <w:r w:rsidRPr="008F0BE0">
              <w:rPr>
                <w:rFonts w:cs="Times New Roman"/>
                <w:sz w:val="18"/>
                <w:szCs w:val="18"/>
              </w:rPr>
              <w:t>Renewable Energy Integration</w:t>
            </w:r>
          </w:p>
        </w:tc>
        <w:tc>
          <w:tcPr>
            <w:tcW w:w="5103" w:type="dxa"/>
          </w:tcPr>
          <w:p w14:paraId="6870E204" w14:textId="77777777" w:rsidR="00052B3F" w:rsidRPr="008F0BE0" w:rsidRDefault="00052B3F" w:rsidP="008F0BE0">
            <w:pPr>
              <w:rPr>
                <w:rFonts w:cs="Times New Roman"/>
                <w:sz w:val="18"/>
                <w:szCs w:val="18"/>
              </w:rPr>
            </w:pPr>
            <w:r w:rsidRPr="008F0BE0">
              <w:rPr>
                <w:rFonts w:cs="Times New Roman"/>
                <w:sz w:val="18"/>
                <w:szCs w:val="18"/>
              </w:rPr>
              <w:t>Minimum 10% of building energy use to be supplied by on-site renewable sources</w:t>
            </w:r>
          </w:p>
        </w:tc>
        <w:tc>
          <w:tcPr>
            <w:tcW w:w="3261" w:type="dxa"/>
          </w:tcPr>
          <w:p w14:paraId="4D9B91F0" w14:textId="77777777" w:rsidR="00052B3F" w:rsidRPr="008F0BE0" w:rsidRDefault="00052B3F" w:rsidP="008F0BE0">
            <w:pPr>
              <w:rPr>
                <w:rFonts w:cs="Times New Roman"/>
                <w:sz w:val="18"/>
                <w:szCs w:val="18"/>
              </w:rPr>
            </w:pPr>
            <w:r w:rsidRPr="008F0BE0">
              <w:rPr>
                <w:rFonts w:cs="Times New Roman"/>
                <w:sz w:val="18"/>
                <w:szCs w:val="18"/>
              </w:rPr>
              <w:t>Exceeds TGS V4 Tier 1 (5% requirement)</w:t>
            </w:r>
          </w:p>
        </w:tc>
      </w:tr>
      <w:tr w:rsidR="00052B3F" w:rsidRPr="008F0BE0" w14:paraId="1DCE4E26" w14:textId="77777777" w:rsidTr="008F0BE0">
        <w:tc>
          <w:tcPr>
            <w:tcW w:w="1696" w:type="dxa"/>
            <w:vMerge/>
          </w:tcPr>
          <w:p w14:paraId="334980FC" w14:textId="77777777" w:rsidR="00052B3F" w:rsidRPr="008F0BE0" w:rsidRDefault="00052B3F" w:rsidP="008F0BE0">
            <w:pPr>
              <w:rPr>
                <w:rFonts w:cs="Times New Roman"/>
                <w:sz w:val="18"/>
                <w:szCs w:val="18"/>
              </w:rPr>
            </w:pPr>
          </w:p>
        </w:tc>
        <w:tc>
          <w:tcPr>
            <w:tcW w:w="5103" w:type="dxa"/>
          </w:tcPr>
          <w:p w14:paraId="25E602A3" w14:textId="2CEFA903" w:rsidR="00052B3F" w:rsidRPr="008F0BE0" w:rsidRDefault="00052B3F" w:rsidP="008F0BE0">
            <w:pPr>
              <w:rPr>
                <w:rFonts w:cs="Times New Roman"/>
                <w:sz w:val="18"/>
                <w:szCs w:val="18"/>
              </w:rPr>
            </w:pPr>
            <w:r w:rsidRPr="008F0BE0">
              <w:rPr>
                <w:rFonts w:cs="Times New Roman"/>
                <w:sz w:val="18"/>
                <w:szCs w:val="18"/>
              </w:rPr>
              <w:t xml:space="preserve">Design all new buildings to be </w:t>
            </w:r>
            <w:r w:rsidR="00A8627F">
              <w:rPr>
                <w:rFonts w:cs="Times New Roman"/>
                <w:sz w:val="18"/>
                <w:szCs w:val="18"/>
              </w:rPr>
              <w:t>“</w:t>
            </w:r>
            <w:r w:rsidRPr="008F0BE0">
              <w:rPr>
                <w:rFonts w:cs="Times New Roman"/>
                <w:sz w:val="18"/>
                <w:szCs w:val="18"/>
              </w:rPr>
              <w:t>solar ready</w:t>
            </w:r>
            <w:r w:rsidR="00A8627F">
              <w:rPr>
                <w:rFonts w:cs="Times New Roman"/>
                <w:sz w:val="18"/>
                <w:szCs w:val="18"/>
              </w:rPr>
              <w:t>”</w:t>
            </w:r>
            <w:r w:rsidRPr="008F0BE0">
              <w:rPr>
                <w:rFonts w:cs="Times New Roman"/>
                <w:sz w:val="18"/>
                <w:szCs w:val="18"/>
              </w:rPr>
              <w:t xml:space="preserve"> with appropriate electrical infrastructure and unobstructed roof space</w:t>
            </w:r>
          </w:p>
        </w:tc>
        <w:tc>
          <w:tcPr>
            <w:tcW w:w="3261" w:type="dxa"/>
          </w:tcPr>
          <w:p w14:paraId="03FFFECF" w14:textId="77777777" w:rsidR="00052B3F" w:rsidRPr="008F0BE0" w:rsidRDefault="00052B3F" w:rsidP="008F0BE0">
            <w:pPr>
              <w:rPr>
                <w:rFonts w:cs="Times New Roman"/>
                <w:sz w:val="18"/>
                <w:szCs w:val="18"/>
              </w:rPr>
            </w:pPr>
            <w:r w:rsidRPr="008F0BE0">
              <w:rPr>
                <w:rFonts w:cs="Times New Roman"/>
                <w:sz w:val="18"/>
                <w:szCs w:val="18"/>
              </w:rPr>
              <w:t>Aligns with UofT approach,</w:t>
            </w:r>
          </w:p>
          <w:p w14:paraId="0EDF0BA4" w14:textId="77777777" w:rsidR="00052B3F" w:rsidRPr="008F0BE0" w:rsidRDefault="00052B3F" w:rsidP="008F0BE0">
            <w:pPr>
              <w:rPr>
                <w:rFonts w:cs="Times New Roman"/>
                <w:sz w:val="18"/>
                <w:szCs w:val="18"/>
              </w:rPr>
            </w:pPr>
            <w:r w:rsidRPr="008F0BE0">
              <w:rPr>
                <w:rFonts w:cs="Times New Roman"/>
                <w:sz w:val="18"/>
                <w:szCs w:val="18"/>
              </w:rPr>
              <w:t>Exceeds LEED v4.1 EA credit requirements</w:t>
            </w:r>
          </w:p>
        </w:tc>
      </w:tr>
      <w:tr w:rsidR="00052B3F" w:rsidRPr="008F0BE0" w14:paraId="276D51DD" w14:textId="77777777" w:rsidTr="008F0BE0">
        <w:tc>
          <w:tcPr>
            <w:tcW w:w="1696" w:type="dxa"/>
            <w:vMerge/>
          </w:tcPr>
          <w:p w14:paraId="0E98CACB" w14:textId="77777777" w:rsidR="00052B3F" w:rsidRPr="008F0BE0" w:rsidRDefault="00052B3F" w:rsidP="008F0BE0">
            <w:pPr>
              <w:rPr>
                <w:rFonts w:cs="Times New Roman"/>
                <w:sz w:val="18"/>
                <w:szCs w:val="18"/>
              </w:rPr>
            </w:pPr>
          </w:p>
        </w:tc>
        <w:tc>
          <w:tcPr>
            <w:tcW w:w="5103" w:type="dxa"/>
          </w:tcPr>
          <w:p w14:paraId="16A8900F" w14:textId="77777777" w:rsidR="00052B3F" w:rsidRPr="008F0BE0" w:rsidRDefault="00052B3F" w:rsidP="008F0BE0">
            <w:pPr>
              <w:rPr>
                <w:rFonts w:cs="Times New Roman"/>
                <w:sz w:val="18"/>
                <w:szCs w:val="18"/>
              </w:rPr>
            </w:pPr>
            <w:r w:rsidRPr="008F0BE0">
              <w:rPr>
                <w:rFonts w:cs="Times New Roman"/>
                <w:sz w:val="18"/>
                <w:szCs w:val="18"/>
              </w:rPr>
              <w:t>Evaluate feasibility of campus-wide renewable energy systems like solar farms or geothermal fields</w:t>
            </w:r>
          </w:p>
        </w:tc>
        <w:tc>
          <w:tcPr>
            <w:tcW w:w="3261" w:type="dxa"/>
          </w:tcPr>
          <w:p w14:paraId="5885FDFA" w14:textId="599FCAF5" w:rsidR="00052B3F" w:rsidRPr="008F0BE0" w:rsidRDefault="00052B3F" w:rsidP="008F0BE0">
            <w:pPr>
              <w:rPr>
                <w:rFonts w:cs="Times New Roman"/>
                <w:sz w:val="18"/>
                <w:szCs w:val="18"/>
              </w:rPr>
            </w:pPr>
            <w:r w:rsidRPr="008F0BE0">
              <w:rPr>
                <w:rFonts w:cs="Times New Roman"/>
                <w:color w:val="000000" w:themeColor="text1"/>
                <w:sz w:val="18"/>
                <w:szCs w:val="18"/>
              </w:rPr>
              <w:t>Aligns with UBC</w:t>
            </w:r>
            <w:r w:rsidR="00027B17">
              <w:rPr>
                <w:rFonts w:cs="Times New Roman"/>
                <w:color w:val="000000" w:themeColor="text1"/>
                <w:sz w:val="18"/>
                <w:szCs w:val="18"/>
              </w:rPr>
              <w:t>’</w:t>
            </w:r>
            <w:r w:rsidRPr="008F0BE0">
              <w:rPr>
                <w:rFonts w:cs="Times New Roman"/>
                <w:color w:val="000000" w:themeColor="text1"/>
                <w:sz w:val="18"/>
                <w:szCs w:val="18"/>
              </w:rPr>
              <w:t>s district energy approach</w:t>
            </w:r>
          </w:p>
        </w:tc>
      </w:tr>
      <w:tr w:rsidR="00052B3F" w:rsidRPr="008F0BE0" w14:paraId="01431CDC" w14:textId="77777777" w:rsidTr="008F0BE0">
        <w:tc>
          <w:tcPr>
            <w:tcW w:w="1696" w:type="dxa"/>
            <w:vMerge/>
          </w:tcPr>
          <w:p w14:paraId="27EA504C" w14:textId="77777777" w:rsidR="00052B3F" w:rsidRPr="008F0BE0" w:rsidRDefault="00052B3F" w:rsidP="008F0BE0">
            <w:pPr>
              <w:rPr>
                <w:rFonts w:cs="Times New Roman"/>
                <w:sz w:val="18"/>
                <w:szCs w:val="18"/>
              </w:rPr>
            </w:pPr>
          </w:p>
        </w:tc>
        <w:tc>
          <w:tcPr>
            <w:tcW w:w="5103" w:type="dxa"/>
          </w:tcPr>
          <w:p w14:paraId="6317323F" w14:textId="77777777" w:rsidR="00052B3F" w:rsidRPr="008F0BE0" w:rsidRDefault="00052B3F" w:rsidP="008F0BE0">
            <w:pPr>
              <w:rPr>
                <w:rFonts w:cs="Times New Roman"/>
                <w:sz w:val="18"/>
                <w:szCs w:val="18"/>
              </w:rPr>
            </w:pPr>
            <w:r w:rsidRPr="008F0BE0">
              <w:rPr>
                <w:rFonts w:cs="Times New Roman"/>
                <w:sz w:val="18"/>
                <w:szCs w:val="18"/>
              </w:rPr>
              <w:t>For existing buildings, implement renewable energy retrofits where feasible, targeting 5% on-site generation</w:t>
            </w:r>
          </w:p>
        </w:tc>
        <w:tc>
          <w:tcPr>
            <w:tcW w:w="3261" w:type="dxa"/>
          </w:tcPr>
          <w:p w14:paraId="0BEF9566" w14:textId="77777777" w:rsidR="00052B3F" w:rsidRPr="008F0BE0" w:rsidRDefault="00052B3F" w:rsidP="008F0BE0">
            <w:pPr>
              <w:rPr>
                <w:rFonts w:cs="Times New Roman"/>
                <w:sz w:val="18"/>
                <w:szCs w:val="18"/>
              </w:rPr>
            </w:pPr>
            <w:r w:rsidRPr="008F0BE0">
              <w:rPr>
                <w:rFonts w:cs="Times New Roman"/>
                <w:sz w:val="18"/>
                <w:szCs w:val="18"/>
              </w:rPr>
              <w:t>Exceeds TGS V4 Tier 2 for existing buildings</w:t>
            </w:r>
          </w:p>
        </w:tc>
      </w:tr>
      <w:tr w:rsidR="00052B3F" w:rsidRPr="008F0BE0" w14:paraId="2412CC8F" w14:textId="77777777" w:rsidTr="008F0BE0">
        <w:tc>
          <w:tcPr>
            <w:tcW w:w="1696" w:type="dxa"/>
            <w:vMerge/>
          </w:tcPr>
          <w:p w14:paraId="06B6DD3F" w14:textId="77777777" w:rsidR="00052B3F" w:rsidRPr="008F0BE0" w:rsidRDefault="00052B3F" w:rsidP="008F0BE0">
            <w:pPr>
              <w:rPr>
                <w:rFonts w:cs="Times New Roman"/>
                <w:sz w:val="18"/>
                <w:szCs w:val="18"/>
              </w:rPr>
            </w:pPr>
          </w:p>
        </w:tc>
        <w:tc>
          <w:tcPr>
            <w:tcW w:w="5103" w:type="dxa"/>
          </w:tcPr>
          <w:p w14:paraId="30526BA4" w14:textId="77777777" w:rsidR="00052B3F" w:rsidRPr="008F0BE0" w:rsidRDefault="00052B3F" w:rsidP="008F0BE0">
            <w:pPr>
              <w:rPr>
                <w:rFonts w:cs="Times New Roman"/>
                <w:sz w:val="18"/>
                <w:szCs w:val="18"/>
              </w:rPr>
            </w:pPr>
            <w:r w:rsidRPr="008F0BE0">
              <w:rPr>
                <w:rFonts w:cs="Times New Roman"/>
                <w:sz w:val="18"/>
                <w:szCs w:val="18"/>
              </w:rPr>
              <w:t>Explore opportunities for power purchase agreements (PPAs) for off-site renewable energy</w:t>
            </w:r>
          </w:p>
        </w:tc>
        <w:tc>
          <w:tcPr>
            <w:tcW w:w="3261" w:type="dxa"/>
          </w:tcPr>
          <w:p w14:paraId="64F848EE" w14:textId="6F914A7A" w:rsidR="00052B3F" w:rsidRPr="008F0BE0" w:rsidRDefault="00052B3F" w:rsidP="008F0BE0">
            <w:pPr>
              <w:rPr>
                <w:rFonts w:cs="Times New Roman"/>
                <w:sz w:val="18"/>
                <w:szCs w:val="18"/>
              </w:rPr>
            </w:pPr>
            <w:r w:rsidRPr="008F0BE0">
              <w:rPr>
                <w:rFonts w:cs="Times New Roman"/>
                <w:sz w:val="18"/>
                <w:szCs w:val="18"/>
              </w:rPr>
              <w:t>Aligns with UC Berkeley</w:t>
            </w:r>
            <w:r w:rsidR="00027B17">
              <w:rPr>
                <w:rFonts w:cs="Times New Roman"/>
                <w:sz w:val="18"/>
                <w:szCs w:val="18"/>
              </w:rPr>
              <w:t>’</w:t>
            </w:r>
            <w:r w:rsidRPr="008F0BE0">
              <w:rPr>
                <w:rFonts w:cs="Times New Roman"/>
                <w:sz w:val="18"/>
                <w:szCs w:val="18"/>
              </w:rPr>
              <w:t xml:space="preserve">s </w:t>
            </w:r>
            <w:r w:rsidR="00193864">
              <w:rPr>
                <w:rFonts w:cs="Times New Roman"/>
                <w:sz w:val="18"/>
                <w:szCs w:val="18"/>
              </w:rPr>
              <w:t>net zero</w:t>
            </w:r>
            <w:r w:rsidRPr="008F0BE0">
              <w:rPr>
                <w:rFonts w:cs="Times New Roman"/>
                <w:sz w:val="18"/>
                <w:szCs w:val="18"/>
              </w:rPr>
              <w:t xml:space="preserve"> strategies</w:t>
            </w:r>
          </w:p>
        </w:tc>
      </w:tr>
      <w:tr w:rsidR="00052B3F" w:rsidRPr="008F0BE0" w14:paraId="554F6B73" w14:textId="77777777" w:rsidTr="008F0BE0">
        <w:trPr>
          <w:trHeight w:val="272"/>
        </w:trPr>
        <w:tc>
          <w:tcPr>
            <w:tcW w:w="1696" w:type="dxa"/>
            <w:vMerge w:val="restart"/>
          </w:tcPr>
          <w:p w14:paraId="003E4FF0" w14:textId="77777777" w:rsidR="00052B3F" w:rsidRPr="008F0BE0" w:rsidRDefault="00052B3F" w:rsidP="008F0BE0">
            <w:pPr>
              <w:rPr>
                <w:rFonts w:cs="Times New Roman"/>
                <w:sz w:val="18"/>
                <w:szCs w:val="18"/>
              </w:rPr>
            </w:pPr>
            <w:r w:rsidRPr="008F0BE0">
              <w:rPr>
                <w:rFonts w:cs="Times New Roman"/>
                <w:sz w:val="18"/>
                <w:szCs w:val="18"/>
              </w:rPr>
              <w:t>Energy Performance</w:t>
            </w:r>
          </w:p>
        </w:tc>
        <w:tc>
          <w:tcPr>
            <w:tcW w:w="8364" w:type="dxa"/>
            <w:gridSpan w:val="2"/>
            <w:shd w:val="clear" w:color="auto" w:fill="F2F2F2" w:themeFill="background2"/>
          </w:tcPr>
          <w:p w14:paraId="718D5053" w14:textId="77777777" w:rsidR="00052B3F" w:rsidRPr="008F0BE0" w:rsidRDefault="00052B3F" w:rsidP="008F0BE0">
            <w:pPr>
              <w:rPr>
                <w:rFonts w:cs="Times New Roman"/>
                <w:sz w:val="18"/>
                <w:szCs w:val="18"/>
              </w:rPr>
            </w:pPr>
            <w:r w:rsidRPr="008F0BE0">
              <w:rPr>
                <w:rFonts w:cs="Times New Roman"/>
                <w:b/>
                <w:bCs/>
                <w:sz w:val="18"/>
                <w:szCs w:val="18"/>
              </w:rPr>
              <w:t>For new construction and major renovations:</w:t>
            </w:r>
          </w:p>
        </w:tc>
      </w:tr>
      <w:tr w:rsidR="00052B3F" w:rsidRPr="008F0BE0" w14:paraId="43B224F9" w14:textId="77777777" w:rsidTr="008F0BE0">
        <w:tc>
          <w:tcPr>
            <w:tcW w:w="1696" w:type="dxa"/>
            <w:vMerge/>
          </w:tcPr>
          <w:p w14:paraId="62DA0732" w14:textId="77777777" w:rsidR="00052B3F" w:rsidRPr="008F0BE0" w:rsidRDefault="00052B3F" w:rsidP="008F0BE0">
            <w:pPr>
              <w:rPr>
                <w:rFonts w:cs="Times New Roman"/>
                <w:sz w:val="18"/>
                <w:szCs w:val="18"/>
              </w:rPr>
            </w:pPr>
          </w:p>
        </w:tc>
        <w:tc>
          <w:tcPr>
            <w:tcW w:w="5103" w:type="dxa"/>
          </w:tcPr>
          <w:p w14:paraId="615302FF" w14:textId="77777777" w:rsidR="00052B3F" w:rsidRPr="008F0BE0" w:rsidRDefault="00052B3F" w:rsidP="008F0BE0">
            <w:pPr>
              <w:rPr>
                <w:rFonts w:cs="Times New Roman"/>
                <w:sz w:val="18"/>
                <w:szCs w:val="18"/>
              </w:rPr>
            </w:pPr>
            <w:r w:rsidRPr="008F0BE0">
              <w:rPr>
                <w:rFonts w:cs="Times New Roman"/>
                <w:sz w:val="18"/>
                <w:szCs w:val="18"/>
              </w:rPr>
              <w:t>Total Energy Use Intensity (TEUI): ≤100 kWh/m²/year</w:t>
            </w:r>
          </w:p>
        </w:tc>
        <w:tc>
          <w:tcPr>
            <w:tcW w:w="3261" w:type="dxa"/>
          </w:tcPr>
          <w:p w14:paraId="48A6D7D0" w14:textId="77777777" w:rsidR="00052B3F" w:rsidRPr="008F0BE0" w:rsidRDefault="00052B3F" w:rsidP="008F0BE0">
            <w:pPr>
              <w:rPr>
                <w:rFonts w:cs="Times New Roman"/>
                <w:sz w:val="18"/>
                <w:szCs w:val="18"/>
              </w:rPr>
            </w:pPr>
            <w:r w:rsidRPr="008F0BE0">
              <w:rPr>
                <w:rFonts w:cs="Times New Roman"/>
                <w:sz w:val="18"/>
                <w:szCs w:val="18"/>
              </w:rPr>
              <w:t>Total Energy Use Intensity (TEUI): ≤100 kWh/m²/year</w:t>
            </w:r>
          </w:p>
        </w:tc>
      </w:tr>
      <w:tr w:rsidR="00052B3F" w:rsidRPr="008F0BE0" w14:paraId="0C7D8560" w14:textId="77777777" w:rsidTr="008F0BE0">
        <w:trPr>
          <w:trHeight w:val="281"/>
        </w:trPr>
        <w:tc>
          <w:tcPr>
            <w:tcW w:w="1696" w:type="dxa"/>
            <w:vMerge/>
          </w:tcPr>
          <w:p w14:paraId="24413934" w14:textId="77777777" w:rsidR="00052B3F" w:rsidRPr="008F0BE0" w:rsidRDefault="00052B3F" w:rsidP="008F0BE0">
            <w:pPr>
              <w:rPr>
                <w:rFonts w:cs="Times New Roman"/>
                <w:sz w:val="18"/>
                <w:szCs w:val="18"/>
              </w:rPr>
            </w:pPr>
          </w:p>
        </w:tc>
        <w:tc>
          <w:tcPr>
            <w:tcW w:w="5103" w:type="dxa"/>
          </w:tcPr>
          <w:p w14:paraId="753C4413" w14:textId="77777777" w:rsidR="00052B3F" w:rsidRPr="008F0BE0" w:rsidRDefault="00052B3F" w:rsidP="008F0BE0">
            <w:pPr>
              <w:rPr>
                <w:rFonts w:cs="Times New Roman"/>
                <w:sz w:val="18"/>
                <w:szCs w:val="18"/>
              </w:rPr>
            </w:pPr>
            <w:r w:rsidRPr="008F0BE0">
              <w:rPr>
                <w:rFonts w:cs="Times New Roman"/>
                <w:sz w:val="18"/>
                <w:szCs w:val="18"/>
              </w:rPr>
              <w:t>Thermal Energy Demand Intensity (TEDI): ≤30 kWh/m²/year</w:t>
            </w:r>
          </w:p>
        </w:tc>
        <w:tc>
          <w:tcPr>
            <w:tcW w:w="3261" w:type="dxa"/>
          </w:tcPr>
          <w:p w14:paraId="240C71FC" w14:textId="77777777" w:rsidR="00052B3F" w:rsidRPr="008F0BE0" w:rsidRDefault="00052B3F" w:rsidP="008F0BE0">
            <w:pPr>
              <w:rPr>
                <w:rFonts w:cs="Times New Roman"/>
                <w:sz w:val="18"/>
                <w:szCs w:val="18"/>
              </w:rPr>
            </w:pPr>
            <w:r w:rsidRPr="008F0BE0">
              <w:rPr>
                <w:rFonts w:cs="Times New Roman"/>
                <w:sz w:val="18"/>
                <w:szCs w:val="18"/>
              </w:rPr>
              <w:t>Aligns with TGS V4 Tier 2</w:t>
            </w:r>
          </w:p>
        </w:tc>
      </w:tr>
      <w:tr w:rsidR="00052B3F" w:rsidRPr="008F0BE0" w14:paraId="5DFAA63D" w14:textId="77777777" w:rsidTr="008F0BE0">
        <w:tc>
          <w:tcPr>
            <w:tcW w:w="1696" w:type="dxa"/>
            <w:vMerge/>
          </w:tcPr>
          <w:p w14:paraId="46726986" w14:textId="77777777" w:rsidR="00052B3F" w:rsidRPr="008F0BE0" w:rsidRDefault="00052B3F" w:rsidP="008F0BE0">
            <w:pPr>
              <w:rPr>
                <w:rFonts w:cs="Times New Roman"/>
                <w:sz w:val="18"/>
                <w:szCs w:val="18"/>
              </w:rPr>
            </w:pPr>
          </w:p>
        </w:tc>
        <w:tc>
          <w:tcPr>
            <w:tcW w:w="5103" w:type="dxa"/>
          </w:tcPr>
          <w:p w14:paraId="2E47159E" w14:textId="77777777" w:rsidR="00052B3F" w:rsidRPr="008F0BE0" w:rsidRDefault="00052B3F" w:rsidP="008F0BE0">
            <w:pPr>
              <w:rPr>
                <w:rFonts w:cs="Times New Roman"/>
                <w:sz w:val="18"/>
                <w:szCs w:val="18"/>
              </w:rPr>
            </w:pPr>
            <w:r w:rsidRPr="008F0BE0">
              <w:rPr>
                <w:rFonts w:cs="Times New Roman"/>
                <w:sz w:val="18"/>
                <w:szCs w:val="18"/>
              </w:rPr>
              <w:t>Greenhouse Gas Intensity (GHGI): ≤5 kg CO₂e/m²/year</w:t>
            </w:r>
          </w:p>
        </w:tc>
        <w:tc>
          <w:tcPr>
            <w:tcW w:w="3261" w:type="dxa"/>
          </w:tcPr>
          <w:p w14:paraId="7815235D" w14:textId="77777777" w:rsidR="00052B3F" w:rsidRPr="008F0BE0" w:rsidRDefault="00052B3F" w:rsidP="008F0BE0">
            <w:pPr>
              <w:rPr>
                <w:rFonts w:cs="Times New Roman"/>
                <w:sz w:val="18"/>
                <w:szCs w:val="18"/>
              </w:rPr>
            </w:pPr>
            <w:r w:rsidRPr="008F0BE0">
              <w:rPr>
                <w:rFonts w:cs="Times New Roman"/>
                <w:sz w:val="18"/>
                <w:szCs w:val="18"/>
              </w:rPr>
              <w:t>Exceeds TGS V4 Tier 2 (10 kg CO₂e/m²/year)</w:t>
            </w:r>
          </w:p>
        </w:tc>
      </w:tr>
      <w:tr w:rsidR="00052B3F" w:rsidRPr="008F0BE0" w14:paraId="4A5A6E67" w14:textId="77777777" w:rsidTr="008F0BE0">
        <w:trPr>
          <w:trHeight w:val="265"/>
        </w:trPr>
        <w:tc>
          <w:tcPr>
            <w:tcW w:w="1696" w:type="dxa"/>
            <w:vMerge/>
          </w:tcPr>
          <w:p w14:paraId="73C84AF3" w14:textId="77777777" w:rsidR="00052B3F" w:rsidRPr="008F0BE0" w:rsidRDefault="00052B3F" w:rsidP="008F0BE0">
            <w:pPr>
              <w:rPr>
                <w:rFonts w:cs="Times New Roman"/>
                <w:sz w:val="18"/>
                <w:szCs w:val="18"/>
              </w:rPr>
            </w:pPr>
          </w:p>
        </w:tc>
        <w:tc>
          <w:tcPr>
            <w:tcW w:w="8364" w:type="dxa"/>
            <w:gridSpan w:val="2"/>
            <w:shd w:val="clear" w:color="auto" w:fill="F2F2F2" w:themeFill="background2"/>
          </w:tcPr>
          <w:p w14:paraId="65F02F7B" w14:textId="77777777" w:rsidR="00052B3F" w:rsidRPr="008F0BE0" w:rsidRDefault="00052B3F" w:rsidP="008F0BE0">
            <w:pPr>
              <w:rPr>
                <w:rFonts w:cs="Times New Roman"/>
                <w:sz w:val="18"/>
                <w:szCs w:val="18"/>
              </w:rPr>
            </w:pPr>
            <w:r w:rsidRPr="008F0BE0">
              <w:rPr>
                <w:rFonts w:cs="Times New Roman"/>
                <w:b/>
                <w:bCs/>
                <w:sz w:val="18"/>
                <w:szCs w:val="18"/>
              </w:rPr>
              <w:t>For existing building retrofits:</w:t>
            </w:r>
          </w:p>
        </w:tc>
      </w:tr>
      <w:tr w:rsidR="00052B3F" w:rsidRPr="008F0BE0" w14:paraId="78FFF214" w14:textId="77777777" w:rsidTr="008F0BE0">
        <w:trPr>
          <w:trHeight w:val="393"/>
        </w:trPr>
        <w:tc>
          <w:tcPr>
            <w:tcW w:w="1696" w:type="dxa"/>
            <w:vMerge/>
          </w:tcPr>
          <w:p w14:paraId="0A4A54C4" w14:textId="77777777" w:rsidR="00052B3F" w:rsidRPr="008F0BE0" w:rsidRDefault="00052B3F" w:rsidP="008F0BE0">
            <w:pPr>
              <w:rPr>
                <w:rFonts w:cs="Times New Roman"/>
                <w:sz w:val="18"/>
                <w:szCs w:val="18"/>
              </w:rPr>
            </w:pPr>
          </w:p>
        </w:tc>
        <w:tc>
          <w:tcPr>
            <w:tcW w:w="5103" w:type="dxa"/>
          </w:tcPr>
          <w:p w14:paraId="60A29388" w14:textId="77777777" w:rsidR="00052B3F" w:rsidRPr="008F0BE0" w:rsidRDefault="00052B3F" w:rsidP="008F0BE0">
            <w:pPr>
              <w:rPr>
                <w:rFonts w:cs="Times New Roman"/>
                <w:sz w:val="18"/>
                <w:szCs w:val="18"/>
              </w:rPr>
            </w:pPr>
            <w:r w:rsidRPr="008F0BE0">
              <w:rPr>
                <w:rFonts w:cs="Times New Roman"/>
                <w:sz w:val="18"/>
                <w:szCs w:val="18"/>
              </w:rPr>
              <w:t>Minimum 40% reduction in energy use intensity from baseline</w:t>
            </w:r>
          </w:p>
        </w:tc>
        <w:tc>
          <w:tcPr>
            <w:tcW w:w="3261" w:type="dxa"/>
          </w:tcPr>
          <w:p w14:paraId="5802A850" w14:textId="77777777" w:rsidR="00052B3F" w:rsidRPr="008F0BE0" w:rsidRDefault="00052B3F" w:rsidP="008F0BE0">
            <w:pPr>
              <w:rPr>
                <w:rFonts w:cs="Times New Roman"/>
                <w:sz w:val="18"/>
                <w:szCs w:val="18"/>
              </w:rPr>
            </w:pPr>
            <w:r w:rsidRPr="008F0BE0">
              <w:rPr>
                <w:rFonts w:cs="Times New Roman"/>
                <w:sz w:val="18"/>
                <w:szCs w:val="18"/>
              </w:rPr>
              <w:t>Aligns with UofT energy reduction goals</w:t>
            </w:r>
          </w:p>
        </w:tc>
      </w:tr>
      <w:tr w:rsidR="00052B3F" w:rsidRPr="008F0BE0" w14:paraId="51AC6C88" w14:textId="77777777" w:rsidTr="008F0BE0">
        <w:tc>
          <w:tcPr>
            <w:tcW w:w="1696" w:type="dxa"/>
            <w:vMerge/>
          </w:tcPr>
          <w:p w14:paraId="0DF6F47C" w14:textId="77777777" w:rsidR="00052B3F" w:rsidRPr="008F0BE0" w:rsidRDefault="00052B3F" w:rsidP="008F0BE0">
            <w:pPr>
              <w:rPr>
                <w:rFonts w:cs="Times New Roman"/>
                <w:sz w:val="18"/>
                <w:szCs w:val="18"/>
              </w:rPr>
            </w:pPr>
          </w:p>
        </w:tc>
        <w:tc>
          <w:tcPr>
            <w:tcW w:w="5103" w:type="dxa"/>
          </w:tcPr>
          <w:p w14:paraId="560DFF67" w14:textId="77777777" w:rsidR="00052B3F" w:rsidRPr="008F0BE0" w:rsidRDefault="00052B3F" w:rsidP="008F0BE0">
            <w:pPr>
              <w:rPr>
                <w:rFonts w:cs="Times New Roman"/>
                <w:sz w:val="18"/>
                <w:szCs w:val="18"/>
              </w:rPr>
            </w:pPr>
            <w:r w:rsidRPr="008F0BE0">
              <w:rPr>
                <w:rFonts w:cs="Times New Roman"/>
                <w:sz w:val="18"/>
                <w:szCs w:val="18"/>
              </w:rPr>
              <w:t>Minimum 50% reduction in greenhouse gas emissions from baseline</w:t>
            </w:r>
          </w:p>
        </w:tc>
        <w:tc>
          <w:tcPr>
            <w:tcW w:w="3261" w:type="dxa"/>
          </w:tcPr>
          <w:p w14:paraId="720C01C2" w14:textId="77777777" w:rsidR="00052B3F" w:rsidRPr="008F0BE0" w:rsidRDefault="00052B3F" w:rsidP="008F0BE0">
            <w:pPr>
              <w:rPr>
                <w:rFonts w:cs="Times New Roman"/>
                <w:sz w:val="18"/>
                <w:szCs w:val="18"/>
              </w:rPr>
            </w:pPr>
            <w:r w:rsidRPr="008F0BE0">
              <w:rPr>
                <w:rFonts w:cs="Times New Roman"/>
                <w:sz w:val="18"/>
                <w:szCs w:val="18"/>
              </w:rPr>
              <w:t>Exceeds LEED v4.1 EA credit requirements</w:t>
            </w:r>
          </w:p>
        </w:tc>
      </w:tr>
      <w:tr w:rsidR="008F0BE0" w:rsidRPr="008F0BE0" w14:paraId="38B37875" w14:textId="77777777" w:rsidTr="001C6697">
        <w:tc>
          <w:tcPr>
            <w:tcW w:w="1696" w:type="dxa"/>
            <w:vMerge/>
          </w:tcPr>
          <w:p w14:paraId="5ECC7D63" w14:textId="77777777" w:rsidR="008F0BE0" w:rsidRPr="008F0BE0" w:rsidRDefault="008F0BE0" w:rsidP="008F0BE0">
            <w:pPr>
              <w:rPr>
                <w:rFonts w:cs="Times New Roman"/>
                <w:sz w:val="18"/>
                <w:szCs w:val="18"/>
              </w:rPr>
            </w:pPr>
          </w:p>
        </w:tc>
        <w:tc>
          <w:tcPr>
            <w:tcW w:w="8364" w:type="dxa"/>
            <w:gridSpan w:val="2"/>
          </w:tcPr>
          <w:p w14:paraId="3DF69B60" w14:textId="7790436C" w:rsidR="008F0BE0" w:rsidRPr="008F0BE0" w:rsidRDefault="008F0BE0" w:rsidP="008F0BE0">
            <w:pPr>
              <w:rPr>
                <w:rFonts w:cs="Times New Roman"/>
                <w:sz w:val="18"/>
                <w:szCs w:val="18"/>
              </w:rPr>
            </w:pPr>
            <w:r w:rsidRPr="008F0BE0">
              <w:rPr>
                <w:rFonts w:cs="Times New Roman"/>
                <w:sz w:val="18"/>
                <w:szCs w:val="18"/>
              </w:rPr>
              <w:t>Common requirements:</w:t>
            </w:r>
          </w:p>
        </w:tc>
      </w:tr>
      <w:tr w:rsidR="00052B3F" w:rsidRPr="008F0BE0" w14:paraId="7B07CA44" w14:textId="77777777" w:rsidTr="008F0BE0">
        <w:tc>
          <w:tcPr>
            <w:tcW w:w="1696" w:type="dxa"/>
            <w:vMerge/>
          </w:tcPr>
          <w:p w14:paraId="5820FE63" w14:textId="77777777" w:rsidR="00052B3F" w:rsidRPr="008F0BE0" w:rsidRDefault="00052B3F" w:rsidP="008F0BE0">
            <w:pPr>
              <w:rPr>
                <w:rFonts w:cs="Times New Roman"/>
                <w:sz w:val="18"/>
                <w:szCs w:val="18"/>
              </w:rPr>
            </w:pPr>
          </w:p>
        </w:tc>
        <w:tc>
          <w:tcPr>
            <w:tcW w:w="5103" w:type="dxa"/>
          </w:tcPr>
          <w:p w14:paraId="04CC0CA9" w14:textId="77777777" w:rsidR="00052B3F" w:rsidRPr="008F0BE0" w:rsidRDefault="00052B3F" w:rsidP="008F0BE0">
            <w:pPr>
              <w:rPr>
                <w:rFonts w:cs="Times New Roman"/>
                <w:sz w:val="18"/>
                <w:szCs w:val="18"/>
              </w:rPr>
            </w:pPr>
            <w:r w:rsidRPr="008F0BE0">
              <w:rPr>
                <w:rFonts w:cs="Times New Roman"/>
                <w:sz w:val="18"/>
                <w:szCs w:val="18"/>
              </w:rPr>
              <w:t xml:space="preserve">Implement advanced building automation systems </w:t>
            </w:r>
          </w:p>
        </w:tc>
        <w:tc>
          <w:tcPr>
            <w:tcW w:w="3261" w:type="dxa"/>
          </w:tcPr>
          <w:p w14:paraId="230E6A11" w14:textId="77777777" w:rsidR="00052B3F" w:rsidRPr="008F0BE0" w:rsidRDefault="00052B3F" w:rsidP="008F0BE0">
            <w:pPr>
              <w:rPr>
                <w:rFonts w:cs="Times New Roman"/>
                <w:sz w:val="18"/>
                <w:szCs w:val="18"/>
              </w:rPr>
            </w:pPr>
            <w:r w:rsidRPr="008F0BE0">
              <w:rPr>
                <w:rFonts w:cs="Times New Roman"/>
                <w:sz w:val="18"/>
                <w:szCs w:val="18"/>
              </w:rPr>
              <w:t>Aligns with UW smart building controls approach</w:t>
            </w:r>
          </w:p>
        </w:tc>
      </w:tr>
      <w:tr w:rsidR="00052B3F" w:rsidRPr="008F0BE0" w14:paraId="497DA24F" w14:textId="77777777" w:rsidTr="008F0BE0">
        <w:tc>
          <w:tcPr>
            <w:tcW w:w="1696" w:type="dxa"/>
            <w:vMerge/>
          </w:tcPr>
          <w:p w14:paraId="74E78677" w14:textId="77777777" w:rsidR="00052B3F" w:rsidRPr="008F0BE0" w:rsidRDefault="00052B3F" w:rsidP="008F0BE0">
            <w:pPr>
              <w:rPr>
                <w:rFonts w:cs="Times New Roman"/>
                <w:sz w:val="18"/>
                <w:szCs w:val="18"/>
              </w:rPr>
            </w:pPr>
          </w:p>
        </w:tc>
        <w:tc>
          <w:tcPr>
            <w:tcW w:w="5103" w:type="dxa"/>
          </w:tcPr>
          <w:p w14:paraId="711E757E" w14:textId="77777777" w:rsidR="00052B3F" w:rsidRPr="008F0BE0" w:rsidRDefault="00052B3F" w:rsidP="008F0BE0">
            <w:pPr>
              <w:rPr>
                <w:rFonts w:cs="Times New Roman"/>
                <w:sz w:val="18"/>
                <w:szCs w:val="18"/>
              </w:rPr>
            </w:pPr>
            <w:r w:rsidRPr="008F0BE0">
              <w:rPr>
                <w:rFonts w:cs="Times New Roman"/>
                <w:sz w:val="18"/>
                <w:szCs w:val="18"/>
              </w:rPr>
              <w:t>Conduct annual energy audits and continuous commissioning</w:t>
            </w:r>
          </w:p>
        </w:tc>
        <w:tc>
          <w:tcPr>
            <w:tcW w:w="3261" w:type="dxa"/>
          </w:tcPr>
          <w:p w14:paraId="388E6320" w14:textId="77777777" w:rsidR="00052B3F" w:rsidRPr="008F0BE0" w:rsidRDefault="00052B3F" w:rsidP="008F0BE0">
            <w:pPr>
              <w:rPr>
                <w:rFonts w:cs="Times New Roman"/>
                <w:sz w:val="18"/>
                <w:szCs w:val="18"/>
              </w:rPr>
            </w:pPr>
            <w:r w:rsidRPr="008F0BE0">
              <w:rPr>
                <w:rFonts w:cs="Times New Roman"/>
                <w:sz w:val="18"/>
                <w:szCs w:val="18"/>
              </w:rPr>
              <w:t>Aligns with UBC continuous optimization program</w:t>
            </w:r>
          </w:p>
        </w:tc>
      </w:tr>
      <w:tr w:rsidR="00052B3F" w:rsidRPr="008F0BE0" w14:paraId="7333B1D0" w14:textId="77777777" w:rsidTr="008F0BE0">
        <w:tc>
          <w:tcPr>
            <w:tcW w:w="1696" w:type="dxa"/>
            <w:vMerge w:val="restart"/>
          </w:tcPr>
          <w:p w14:paraId="73C888D0" w14:textId="77777777" w:rsidR="00052B3F" w:rsidRPr="008F0BE0" w:rsidRDefault="00052B3F" w:rsidP="008F0BE0">
            <w:pPr>
              <w:rPr>
                <w:rFonts w:cs="Times New Roman"/>
                <w:sz w:val="18"/>
                <w:szCs w:val="18"/>
              </w:rPr>
            </w:pPr>
            <w:r w:rsidRPr="008F0BE0">
              <w:rPr>
                <w:rFonts w:cs="Times New Roman"/>
                <w:sz w:val="18"/>
                <w:szCs w:val="18"/>
              </w:rPr>
              <w:t>Building Envelope Performance</w:t>
            </w:r>
          </w:p>
        </w:tc>
        <w:tc>
          <w:tcPr>
            <w:tcW w:w="8364" w:type="dxa"/>
            <w:gridSpan w:val="2"/>
            <w:shd w:val="clear" w:color="auto" w:fill="F2F2F2" w:themeFill="background2"/>
          </w:tcPr>
          <w:p w14:paraId="6F3584C7" w14:textId="77777777" w:rsidR="00052B3F" w:rsidRPr="008F0BE0" w:rsidRDefault="00052B3F" w:rsidP="008F0BE0">
            <w:pPr>
              <w:rPr>
                <w:rFonts w:cs="Times New Roman"/>
                <w:sz w:val="18"/>
                <w:szCs w:val="18"/>
              </w:rPr>
            </w:pPr>
            <w:r w:rsidRPr="008F0BE0">
              <w:rPr>
                <w:rFonts w:cs="Times New Roman"/>
                <w:b/>
                <w:bCs/>
                <w:sz w:val="18"/>
                <w:szCs w:val="18"/>
              </w:rPr>
              <w:t>For new construction:</w:t>
            </w:r>
          </w:p>
        </w:tc>
      </w:tr>
      <w:tr w:rsidR="00052B3F" w:rsidRPr="008F0BE0" w14:paraId="4600FDA2" w14:textId="77777777" w:rsidTr="008F0BE0">
        <w:tc>
          <w:tcPr>
            <w:tcW w:w="1696" w:type="dxa"/>
            <w:vMerge/>
          </w:tcPr>
          <w:p w14:paraId="21396B94" w14:textId="77777777" w:rsidR="00052B3F" w:rsidRPr="008F0BE0" w:rsidRDefault="00052B3F" w:rsidP="008F0BE0">
            <w:pPr>
              <w:rPr>
                <w:rFonts w:cs="Times New Roman"/>
                <w:sz w:val="18"/>
                <w:szCs w:val="18"/>
              </w:rPr>
            </w:pPr>
          </w:p>
        </w:tc>
        <w:tc>
          <w:tcPr>
            <w:tcW w:w="5103" w:type="dxa"/>
          </w:tcPr>
          <w:p w14:paraId="32E0DFB6" w14:textId="77777777" w:rsidR="00052B3F" w:rsidRPr="008F0BE0" w:rsidRDefault="00052B3F" w:rsidP="008F0BE0">
            <w:pPr>
              <w:rPr>
                <w:rFonts w:cs="Times New Roman"/>
                <w:sz w:val="18"/>
                <w:szCs w:val="18"/>
              </w:rPr>
            </w:pPr>
            <w:r w:rsidRPr="008F0BE0">
              <w:rPr>
                <w:rFonts w:cs="Times New Roman"/>
                <w:sz w:val="18"/>
                <w:szCs w:val="18"/>
              </w:rPr>
              <w:t xml:space="preserve">Overall thermal transmittance (U-value) for opaque wall assemblies: 0.15 W/m²K or less </w:t>
            </w:r>
          </w:p>
        </w:tc>
        <w:tc>
          <w:tcPr>
            <w:tcW w:w="3261" w:type="dxa"/>
          </w:tcPr>
          <w:p w14:paraId="77F325E0" w14:textId="77777777" w:rsidR="00052B3F" w:rsidRPr="008F0BE0" w:rsidRDefault="00052B3F" w:rsidP="008F0BE0">
            <w:pPr>
              <w:rPr>
                <w:rFonts w:cs="Times New Roman"/>
                <w:sz w:val="18"/>
                <w:szCs w:val="18"/>
              </w:rPr>
            </w:pPr>
            <w:r w:rsidRPr="008F0BE0">
              <w:rPr>
                <w:rFonts w:cs="Times New Roman"/>
                <w:sz w:val="18"/>
                <w:szCs w:val="18"/>
              </w:rPr>
              <w:t>Exceeds Passive House standards</w:t>
            </w:r>
          </w:p>
        </w:tc>
      </w:tr>
      <w:tr w:rsidR="00052B3F" w:rsidRPr="008F0BE0" w14:paraId="1B0E7F70" w14:textId="77777777" w:rsidTr="008F0BE0">
        <w:tc>
          <w:tcPr>
            <w:tcW w:w="1696" w:type="dxa"/>
            <w:vMerge/>
          </w:tcPr>
          <w:p w14:paraId="2F0F020D" w14:textId="77777777" w:rsidR="00052B3F" w:rsidRPr="008F0BE0" w:rsidRDefault="00052B3F" w:rsidP="008F0BE0">
            <w:pPr>
              <w:rPr>
                <w:rFonts w:cs="Times New Roman"/>
                <w:sz w:val="18"/>
                <w:szCs w:val="18"/>
              </w:rPr>
            </w:pPr>
          </w:p>
        </w:tc>
        <w:tc>
          <w:tcPr>
            <w:tcW w:w="5103" w:type="dxa"/>
          </w:tcPr>
          <w:p w14:paraId="6DCE6A29" w14:textId="77777777" w:rsidR="00052B3F" w:rsidRPr="008F0BE0" w:rsidRDefault="00052B3F" w:rsidP="008F0BE0">
            <w:pPr>
              <w:rPr>
                <w:rFonts w:cs="Times New Roman"/>
                <w:sz w:val="18"/>
                <w:szCs w:val="18"/>
              </w:rPr>
            </w:pPr>
            <w:r w:rsidRPr="008F0BE0">
              <w:rPr>
                <w:rFonts w:cs="Times New Roman"/>
                <w:sz w:val="18"/>
                <w:szCs w:val="18"/>
              </w:rPr>
              <w:t>Overall thermal transmittance for roofs: 0.10 W/m²K or less</w:t>
            </w:r>
          </w:p>
        </w:tc>
        <w:tc>
          <w:tcPr>
            <w:tcW w:w="3261" w:type="dxa"/>
          </w:tcPr>
          <w:p w14:paraId="22CBA50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requirements</w:t>
            </w:r>
          </w:p>
          <w:p w14:paraId="7985BF72"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Passive House standards</w:t>
            </w:r>
          </w:p>
        </w:tc>
      </w:tr>
      <w:tr w:rsidR="00052B3F" w:rsidRPr="008F0BE0" w14:paraId="1E3188AD" w14:textId="77777777" w:rsidTr="008F0BE0">
        <w:tc>
          <w:tcPr>
            <w:tcW w:w="1696" w:type="dxa"/>
            <w:vMerge/>
          </w:tcPr>
          <w:p w14:paraId="163BAB74" w14:textId="77777777" w:rsidR="00052B3F" w:rsidRPr="008F0BE0" w:rsidRDefault="00052B3F" w:rsidP="008F0BE0">
            <w:pPr>
              <w:rPr>
                <w:rFonts w:cs="Times New Roman"/>
                <w:sz w:val="18"/>
                <w:szCs w:val="18"/>
              </w:rPr>
            </w:pPr>
          </w:p>
        </w:tc>
        <w:tc>
          <w:tcPr>
            <w:tcW w:w="5103" w:type="dxa"/>
          </w:tcPr>
          <w:p w14:paraId="0A2D4AB9" w14:textId="77777777" w:rsidR="00052B3F" w:rsidRPr="008F0BE0" w:rsidRDefault="00052B3F" w:rsidP="008F0BE0">
            <w:pPr>
              <w:rPr>
                <w:rFonts w:cs="Times New Roman"/>
                <w:sz w:val="18"/>
                <w:szCs w:val="18"/>
              </w:rPr>
            </w:pPr>
            <w:r w:rsidRPr="008F0BE0">
              <w:rPr>
                <w:rFonts w:cs="Times New Roman"/>
                <w:sz w:val="18"/>
                <w:szCs w:val="18"/>
              </w:rPr>
              <w:t>Windows: U-value of 1.0 W/m²K or less, solar heat gain coefficient 0.35 or less</w:t>
            </w:r>
          </w:p>
        </w:tc>
        <w:tc>
          <w:tcPr>
            <w:tcW w:w="3261" w:type="dxa"/>
          </w:tcPr>
          <w:p w14:paraId="06985CE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Passive House standards</w:t>
            </w:r>
          </w:p>
        </w:tc>
      </w:tr>
      <w:tr w:rsidR="00052B3F" w:rsidRPr="008F0BE0" w14:paraId="7802B90E" w14:textId="77777777" w:rsidTr="008F0BE0">
        <w:tc>
          <w:tcPr>
            <w:tcW w:w="1696" w:type="dxa"/>
            <w:vMerge/>
          </w:tcPr>
          <w:p w14:paraId="6D551E80" w14:textId="77777777" w:rsidR="00052B3F" w:rsidRPr="008F0BE0" w:rsidRDefault="00052B3F" w:rsidP="008F0BE0">
            <w:pPr>
              <w:rPr>
                <w:rFonts w:cs="Times New Roman"/>
                <w:sz w:val="18"/>
                <w:szCs w:val="18"/>
              </w:rPr>
            </w:pPr>
          </w:p>
        </w:tc>
        <w:tc>
          <w:tcPr>
            <w:tcW w:w="5103" w:type="dxa"/>
          </w:tcPr>
          <w:p w14:paraId="7580038A" w14:textId="77777777" w:rsidR="00052B3F" w:rsidRPr="008F0BE0" w:rsidRDefault="00052B3F" w:rsidP="008F0BE0">
            <w:pPr>
              <w:rPr>
                <w:rFonts w:cs="Times New Roman"/>
                <w:sz w:val="18"/>
                <w:szCs w:val="18"/>
              </w:rPr>
            </w:pPr>
            <w:r w:rsidRPr="008F0BE0">
              <w:rPr>
                <w:rFonts w:cs="Times New Roman"/>
                <w:sz w:val="18"/>
                <w:szCs w:val="18"/>
              </w:rPr>
              <w:t xml:space="preserve">Air leakage rate: 0.6 air changes per hour @ 50 Pa or less </w:t>
            </w:r>
          </w:p>
        </w:tc>
        <w:tc>
          <w:tcPr>
            <w:tcW w:w="3261" w:type="dxa"/>
          </w:tcPr>
          <w:p w14:paraId="4B14CCD4" w14:textId="77777777" w:rsidR="00052B3F" w:rsidRPr="008F0BE0" w:rsidRDefault="00052B3F" w:rsidP="008F0BE0">
            <w:pPr>
              <w:rPr>
                <w:rFonts w:cs="Times New Roman"/>
                <w:sz w:val="18"/>
                <w:szCs w:val="18"/>
              </w:rPr>
            </w:pPr>
            <w:r w:rsidRPr="008F0BE0">
              <w:rPr>
                <w:rFonts w:cs="Times New Roman"/>
                <w:sz w:val="18"/>
                <w:szCs w:val="18"/>
              </w:rPr>
              <w:t>Aligns with Passive House standards</w:t>
            </w:r>
          </w:p>
        </w:tc>
      </w:tr>
      <w:tr w:rsidR="00052B3F" w:rsidRPr="008F0BE0" w14:paraId="479534C1" w14:textId="77777777" w:rsidTr="008F0BE0">
        <w:tc>
          <w:tcPr>
            <w:tcW w:w="1696" w:type="dxa"/>
            <w:vMerge/>
          </w:tcPr>
          <w:p w14:paraId="1B823856" w14:textId="77777777" w:rsidR="00052B3F" w:rsidRPr="008F0BE0" w:rsidRDefault="00052B3F" w:rsidP="008F0BE0">
            <w:pPr>
              <w:rPr>
                <w:rFonts w:cs="Times New Roman"/>
                <w:sz w:val="18"/>
                <w:szCs w:val="18"/>
              </w:rPr>
            </w:pPr>
          </w:p>
        </w:tc>
        <w:tc>
          <w:tcPr>
            <w:tcW w:w="8364" w:type="dxa"/>
            <w:gridSpan w:val="2"/>
            <w:shd w:val="clear" w:color="auto" w:fill="F2F2F2" w:themeFill="background2"/>
          </w:tcPr>
          <w:p w14:paraId="6DB80498" w14:textId="77777777" w:rsidR="00052B3F" w:rsidRPr="008F0BE0" w:rsidRDefault="00052B3F" w:rsidP="008F0BE0">
            <w:pPr>
              <w:rPr>
                <w:rFonts w:cs="Times New Roman"/>
                <w:sz w:val="18"/>
                <w:szCs w:val="18"/>
              </w:rPr>
            </w:pPr>
            <w:r w:rsidRPr="008F0BE0">
              <w:rPr>
                <w:rFonts w:cs="Times New Roman"/>
                <w:b/>
                <w:bCs/>
                <w:sz w:val="18"/>
                <w:szCs w:val="18"/>
              </w:rPr>
              <w:t>For existing building retrofits:</w:t>
            </w:r>
          </w:p>
        </w:tc>
      </w:tr>
      <w:tr w:rsidR="00052B3F" w:rsidRPr="008F0BE0" w14:paraId="18400670" w14:textId="77777777" w:rsidTr="008F0BE0">
        <w:tc>
          <w:tcPr>
            <w:tcW w:w="1696" w:type="dxa"/>
            <w:vMerge/>
          </w:tcPr>
          <w:p w14:paraId="42159B91" w14:textId="77777777" w:rsidR="00052B3F" w:rsidRPr="008F0BE0" w:rsidRDefault="00052B3F" w:rsidP="008F0BE0">
            <w:pPr>
              <w:rPr>
                <w:rFonts w:cs="Times New Roman"/>
                <w:sz w:val="18"/>
                <w:szCs w:val="18"/>
              </w:rPr>
            </w:pPr>
          </w:p>
        </w:tc>
        <w:tc>
          <w:tcPr>
            <w:tcW w:w="5103" w:type="dxa"/>
          </w:tcPr>
          <w:p w14:paraId="51FDE024" w14:textId="77777777" w:rsidR="00052B3F" w:rsidRPr="008F0BE0" w:rsidRDefault="00052B3F" w:rsidP="008F0BE0">
            <w:pPr>
              <w:rPr>
                <w:rFonts w:cs="Times New Roman"/>
                <w:sz w:val="18"/>
                <w:szCs w:val="18"/>
              </w:rPr>
            </w:pPr>
            <w:r w:rsidRPr="008F0BE0">
              <w:rPr>
                <w:rFonts w:cs="Times New Roman"/>
                <w:sz w:val="18"/>
                <w:szCs w:val="18"/>
              </w:rPr>
              <w:t>Add minimum R-30 insulation to walls and R-40 to roofs during envelope renovations</w:t>
            </w:r>
          </w:p>
        </w:tc>
        <w:tc>
          <w:tcPr>
            <w:tcW w:w="3261" w:type="dxa"/>
          </w:tcPr>
          <w:p w14:paraId="138CB673" w14:textId="77777777" w:rsidR="00052B3F" w:rsidRPr="008F0BE0" w:rsidRDefault="00052B3F" w:rsidP="008F0BE0">
            <w:pPr>
              <w:rPr>
                <w:rFonts w:cs="Times New Roman"/>
                <w:sz w:val="18"/>
                <w:szCs w:val="18"/>
              </w:rPr>
            </w:pPr>
            <w:r w:rsidRPr="008F0BE0">
              <w:rPr>
                <w:rFonts w:cs="Times New Roman"/>
                <w:sz w:val="18"/>
                <w:szCs w:val="18"/>
              </w:rPr>
              <w:t>Exceeds typical retrofit standards</w:t>
            </w:r>
          </w:p>
        </w:tc>
      </w:tr>
      <w:tr w:rsidR="00052B3F" w:rsidRPr="008F0BE0" w14:paraId="376D78EE" w14:textId="77777777" w:rsidTr="008F0BE0">
        <w:tc>
          <w:tcPr>
            <w:tcW w:w="1696" w:type="dxa"/>
            <w:vMerge/>
          </w:tcPr>
          <w:p w14:paraId="6B43B40D" w14:textId="77777777" w:rsidR="00052B3F" w:rsidRPr="008F0BE0" w:rsidRDefault="00052B3F" w:rsidP="008F0BE0">
            <w:pPr>
              <w:rPr>
                <w:rFonts w:cs="Times New Roman"/>
                <w:sz w:val="18"/>
                <w:szCs w:val="18"/>
              </w:rPr>
            </w:pPr>
          </w:p>
        </w:tc>
        <w:tc>
          <w:tcPr>
            <w:tcW w:w="5103" w:type="dxa"/>
          </w:tcPr>
          <w:p w14:paraId="1F5F4DDC" w14:textId="77777777" w:rsidR="00052B3F" w:rsidRPr="008F0BE0" w:rsidRDefault="00052B3F" w:rsidP="008F0BE0">
            <w:pPr>
              <w:rPr>
                <w:rFonts w:cs="Times New Roman"/>
                <w:sz w:val="18"/>
                <w:szCs w:val="18"/>
              </w:rPr>
            </w:pPr>
            <w:r w:rsidRPr="008F0BE0">
              <w:rPr>
                <w:rFonts w:cs="Times New Roman"/>
                <w:sz w:val="18"/>
                <w:szCs w:val="18"/>
              </w:rPr>
              <w:t>Replace all windows with triple-glazed units (U-value 1.0 W/m²K or less</w:t>
            </w:r>
          </w:p>
        </w:tc>
        <w:tc>
          <w:tcPr>
            <w:tcW w:w="3261" w:type="dxa"/>
          </w:tcPr>
          <w:p w14:paraId="263AC392" w14:textId="77777777" w:rsidR="00052B3F" w:rsidRPr="008F0BE0" w:rsidRDefault="00052B3F" w:rsidP="008F0BE0">
            <w:pPr>
              <w:rPr>
                <w:rFonts w:cs="Times New Roman"/>
                <w:sz w:val="18"/>
                <w:szCs w:val="18"/>
              </w:rPr>
            </w:pPr>
            <w:r w:rsidRPr="008F0BE0">
              <w:rPr>
                <w:rFonts w:cs="Times New Roman"/>
                <w:sz w:val="18"/>
                <w:szCs w:val="18"/>
              </w:rPr>
              <w:t>Aligns with UW German A-rated building performance standards</w:t>
            </w:r>
          </w:p>
        </w:tc>
      </w:tr>
      <w:tr w:rsidR="00052B3F" w:rsidRPr="008F0BE0" w14:paraId="1BE1C884" w14:textId="77777777" w:rsidTr="008F0BE0">
        <w:tc>
          <w:tcPr>
            <w:tcW w:w="1696" w:type="dxa"/>
            <w:vMerge/>
          </w:tcPr>
          <w:p w14:paraId="7DC50179" w14:textId="77777777" w:rsidR="00052B3F" w:rsidRPr="008F0BE0" w:rsidRDefault="00052B3F" w:rsidP="008F0BE0">
            <w:pPr>
              <w:rPr>
                <w:rFonts w:cs="Times New Roman"/>
                <w:sz w:val="18"/>
                <w:szCs w:val="18"/>
              </w:rPr>
            </w:pPr>
          </w:p>
        </w:tc>
        <w:tc>
          <w:tcPr>
            <w:tcW w:w="5103" w:type="dxa"/>
          </w:tcPr>
          <w:p w14:paraId="09D675F2" w14:textId="77777777" w:rsidR="00052B3F" w:rsidRPr="008F0BE0" w:rsidRDefault="00052B3F" w:rsidP="008F0BE0">
            <w:pPr>
              <w:rPr>
                <w:rFonts w:cs="Times New Roman"/>
                <w:sz w:val="18"/>
                <w:szCs w:val="18"/>
              </w:rPr>
            </w:pPr>
            <w:r w:rsidRPr="008F0BE0">
              <w:rPr>
                <w:rFonts w:cs="Times New Roman"/>
                <w:sz w:val="18"/>
                <w:szCs w:val="18"/>
              </w:rPr>
              <w:t xml:space="preserve"> Air seal to achieve 1.5 air changes per hour @ 50 Pa or less</w:t>
            </w:r>
          </w:p>
        </w:tc>
        <w:tc>
          <w:tcPr>
            <w:tcW w:w="3261" w:type="dxa"/>
          </w:tcPr>
          <w:p w14:paraId="0377897A" w14:textId="77777777" w:rsidR="00052B3F" w:rsidRPr="008F0BE0" w:rsidRDefault="00052B3F" w:rsidP="008F0BE0">
            <w:pPr>
              <w:rPr>
                <w:rFonts w:cs="Times New Roman"/>
                <w:sz w:val="18"/>
                <w:szCs w:val="18"/>
              </w:rPr>
            </w:pPr>
            <w:r w:rsidRPr="008F0BE0">
              <w:rPr>
                <w:rFonts w:cs="Times New Roman"/>
                <w:sz w:val="18"/>
                <w:szCs w:val="18"/>
              </w:rPr>
              <w:t>Exceeds typical retrofit standards</w:t>
            </w:r>
          </w:p>
        </w:tc>
      </w:tr>
      <w:tr w:rsidR="00052B3F" w:rsidRPr="008F0BE0" w14:paraId="0C0DA479" w14:textId="77777777" w:rsidTr="008F0BE0">
        <w:tc>
          <w:tcPr>
            <w:tcW w:w="1696" w:type="dxa"/>
            <w:vMerge/>
          </w:tcPr>
          <w:p w14:paraId="3FD63676" w14:textId="77777777" w:rsidR="00052B3F" w:rsidRPr="008F0BE0" w:rsidRDefault="00052B3F" w:rsidP="008F0BE0">
            <w:pPr>
              <w:rPr>
                <w:rFonts w:cs="Times New Roman"/>
                <w:sz w:val="18"/>
                <w:szCs w:val="18"/>
              </w:rPr>
            </w:pPr>
          </w:p>
        </w:tc>
        <w:tc>
          <w:tcPr>
            <w:tcW w:w="8364" w:type="dxa"/>
            <w:gridSpan w:val="2"/>
            <w:shd w:val="clear" w:color="auto" w:fill="F2F2F2" w:themeFill="background2"/>
          </w:tcPr>
          <w:p w14:paraId="17F423C9" w14:textId="77777777" w:rsidR="00052B3F" w:rsidRPr="008F0BE0" w:rsidRDefault="00052B3F" w:rsidP="008F0BE0">
            <w:pPr>
              <w:rPr>
                <w:rFonts w:cs="Times New Roman"/>
                <w:sz w:val="18"/>
                <w:szCs w:val="18"/>
              </w:rPr>
            </w:pPr>
            <w:r w:rsidRPr="008F0BE0">
              <w:rPr>
                <w:rFonts w:cs="Times New Roman"/>
                <w:b/>
                <w:bCs/>
                <w:sz w:val="18"/>
                <w:szCs w:val="18"/>
              </w:rPr>
              <w:t>Common requirements:</w:t>
            </w:r>
          </w:p>
        </w:tc>
      </w:tr>
      <w:tr w:rsidR="00052B3F" w:rsidRPr="008F0BE0" w14:paraId="13429C4D" w14:textId="77777777" w:rsidTr="008F0BE0">
        <w:tc>
          <w:tcPr>
            <w:tcW w:w="1696" w:type="dxa"/>
            <w:vMerge/>
          </w:tcPr>
          <w:p w14:paraId="026B7041" w14:textId="77777777" w:rsidR="00052B3F" w:rsidRPr="008F0BE0" w:rsidRDefault="00052B3F" w:rsidP="008F0BE0">
            <w:pPr>
              <w:rPr>
                <w:rFonts w:cs="Times New Roman"/>
                <w:sz w:val="18"/>
                <w:szCs w:val="18"/>
              </w:rPr>
            </w:pPr>
          </w:p>
        </w:tc>
        <w:tc>
          <w:tcPr>
            <w:tcW w:w="5103" w:type="dxa"/>
          </w:tcPr>
          <w:p w14:paraId="6EBE2D3A" w14:textId="77777777" w:rsidR="00052B3F" w:rsidRPr="008F0BE0" w:rsidRDefault="00052B3F" w:rsidP="008F0BE0">
            <w:pPr>
              <w:rPr>
                <w:rFonts w:cs="Times New Roman"/>
                <w:sz w:val="18"/>
                <w:szCs w:val="18"/>
              </w:rPr>
            </w:pPr>
            <w:r w:rsidRPr="008F0BE0">
              <w:rPr>
                <w:rFonts w:cs="Times New Roman"/>
                <w:sz w:val="18"/>
                <w:szCs w:val="18"/>
              </w:rPr>
              <w:t xml:space="preserve"> Implement thermal bridging mitigation strategies</w:t>
            </w:r>
          </w:p>
        </w:tc>
        <w:tc>
          <w:tcPr>
            <w:tcW w:w="3261" w:type="dxa"/>
          </w:tcPr>
          <w:p w14:paraId="10D9EC15" w14:textId="77777777" w:rsidR="00052B3F" w:rsidRPr="008F0BE0" w:rsidRDefault="00052B3F" w:rsidP="008F0BE0">
            <w:pPr>
              <w:rPr>
                <w:rFonts w:cs="Times New Roman"/>
                <w:sz w:val="18"/>
                <w:szCs w:val="18"/>
              </w:rPr>
            </w:pPr>
            <w:r w:rsidRPr="008F0BE0">
              <w:rPr>
                <w:rFonts w:cs="Times New Roman"/>
                <w:sz w:val="18"/>
                <w:szCs w:val="18"/>
              </w:rPr>
              <w:t>Aligns with Passive House approach</w:t>
            </w:r>
          </w:p>
        </w:tc>
      </w:tr>
      <w:tr w:rsidR="00052B3F" w:rsidRPr="008F0BE0" w14:paraId="58E18A09" w14:textId="77777777" w:rsidTr="008F0BE0">
        <w:tc>
          <w:tcPr>
            <w:tcW w:w="1696" w:type="dxa"/>
            <w:vMerge/>
          </w:tcPr>
          <w:p w14:paraId="7D72F210" w14:textId="77777777" w:rsidR="00052B3F" w:rsidRPr="008F0BE0" w:rsidRDefault="00052B3F" w:rsidP="008F0BE0">
            <w:pPr>
              <w:rPr>
                <w:rFonts w:cs="Times New Roman"/>
                <w:sz w:val="18"/>
                <w:szCs w:val="18"/>
              </w:rPr>
            </w:pPr>
          </w:p>
        </w:tc>
        <w:tc>
          <w:tcPr>
            <w:tcW w:w="5103" w:type="dxa"/>
          </w:tcPr>
          <w:p w14:paraId="3DBD4394" w14:textId="77777777" w:rsidR="00052B3F" w:rsidRPr="008F0BE0" w:rsidRDefault="00052B3F" w:rsidP="008F0BE0">
            <w:pPr>
              <w:rPr>
                <w:rFonts w:cs="Times New Roman"/>
                <w:sz w:val="18"/>
                <w:szCs w:val="18"/>
              </w:rPr>
            </w:pPr>
            <w:r w:rsidRPr="008F0BE0">
              <w:rPr>
                <w:rFonts w:cs="Times New Roman"/>
                <w:sz w:val="18"/>
                <w:szCs w:val="18"/>
              </w:rPr>
              <w:t xml:space="preserve">Use high-albedo roofing materials to reduce heat island effect </w:t>
            </w:r>
          </w:p>
        </w:tc>
        <w:tc>
          <w:tcPr>
            <w:tcW w:w="3261" w:type="dxa"/>
          </w:tcPr>
          <w:p w14:paraId="20D650AC" w14:textId="77777777" w:rsidR="00052B3F" w:rsidRPr="008F0BE0" w:rsidRDefault="00052B3F" w:rsidP="008F0BE0">
            <w:pPr>
              <w:rPr>
                <w:rFonts w:cs="Times New Roman"/>
                <w:sz w:val="18"/>
                <w:szCs w:val="18"/>
              </w:rPr>
            </w:pPr>
            <w:r w:rsidRPr="008F0BE0">
              <w:rPr>
                <w:rFonts w:cs="Times New Roman"/>
                <w:sz w:val="18"/>
                <w:szCs w:val="18"/>
              </w:rPr>
              <w:t>Aligns with LEED v4.1 Heat Island Reduction credit</w:t>
            </w:r>
          </w:p>
        </w:tc>
      </w:tr>
      <w:tr w:rsidR="00052B3F" w:rsidRPr="008F0BE0" w14:paraId="3F58C1E7" w14:textId="77777777" w:rsidTr="008F0BE0">
        <w:tc>
          <w:tcPr>
            <w:tcW w:w="1696" w:type="dxa"/>
            <w:vMerge w:val="restart"/>
          </w:tcPr>
          <w:p w14:paraId="5F7953E8" w14:textId="77777777" w:rsidR="00052B3F" w:rsidRPr="008F0BE0" w:rsidRDefault="00052B3F" w:rsidP="008F0BE0">
            <w:pPr>
              <w:rPr>
                <w:rFonts w:cs="Times New Roman"/>
                <w:sz w:val="18"/>
                <w:szCs w:val="18"/>
              </w:rPr>
            </w:pPr>
            <w:r w:rsidRPr="008F0BE0">
              <w:rPr>
                <w:rFonts w:cs="Times New Roman"/>
                <w:sz w:val="18"/>
                <w:szCs w:val="18"/>
              </w:rPr>
              <w:t>HVAC Systems and Controls</w:t>
            </w:r>
          </w:p>
        </w:tc>
        <w:tc>
          <w:tcPr>
            <w:tcW w:w="5103" w:type="dxa"/>
          </w:tcPr>
          <w:p w14:paraId="4C94E6EA" w14:textId="77777777" w:rsidR="00052B3F" w:rsidRPr="008F0BE0" w:rsidRDefault="00052B3F" w:rsidP="008F0BE0">
            <w:pPr>
              <w:rPr>
                <w:rFonts w:cs="Times New Roman"/>
                <w:sz w:val="18"/>
                <w:szCs w:val="18"/>
              </w:rPr>
            </w:pPr>
            <w:r w:rsidRPr="008F0BE0">
              <w:rPr>
                <w:rFonts w:cs="Times New Roman"/>
                <w:sz w:val="18"/>
                <w:szCs w:val="18"/>
              </w:rPr>
              <w:t xml:space="preserve">Utilize low-temperature heating (max 45°C supply) and high-temperature cooling (min 15°C supply) hydronic systems </w:t>
            </w:r>
          </w:p>
        </w:tc>
        <w:tc>
          <w:tcPr>
            <w:tcW w:w="3261" w:type="dxa"/>
          </w:tcPr>
          <w:p w14:paraId="076B6D9D"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low-exergy system principles</w:t>
            </w:r>
          </w:p>
        </w:tc>
      </w:tr>
      <w:tr w:rsidR="00052B3F" w:rsidRPr="008F0BE0" w14:paraId="792CFDEE" w14:textId="77777777" w:rsidTr="008F0BE0">
        <w:tc>
          <w:tcPr>
            <w:tcW w:w="1696" w:type="dxa"/>
            <w:vMerge/>
          </w:tcPr>
          <w:p w14:paraId="4B1398A7" w14:textId="77777777" w:rsidR="00052B3F" w:rsidRPr="008F0BE0" w:rsidRDefault="00052B3F" w:rsidP="008F0BE0">
            <w:pPr>
              <w:rPr>
                <w:rFonts w:cs="Times New Roman"/>
                <w:sz w:val="18"/>
                <w:szCs w:val="18"/>
              </w:rPr>
            </w:pPr>
          </w:p>
        </w:tc>
        <w:tc>
          <w:tcPr>
            <w:tcW w:w="5103" w:type="dxa"/>
          </w:tcPr>
          <w:p w14:paraId="49D4216C" w14:textId="77777777" w:rsidR="00052B3F" w:rsidRPr="008F0BE0" w:rsidRDefault="00052B3F" w:rsidP="008F0BE0">
            <w:pPr>
              <w:rPr>
                <w:rFonts w:cs="Times New Roman"/>
                <w:sz w:val="18"/>
                <w:szCs w:val="18"/>
              </w:rPr>
            </w:pPr>
            <w:r w:rsidRPr="008F0BE0">
              <w:rPr>
                <w:rFonts w:cs="Times New Roman"/>
                <w:sz w:val="18"/>
                <w:szCs w:val="18"/>
              </w:rPr>
              <w:t xml:space="preserve">Implement heat recovery on all ventilation systems with minimum 80% efficiency </w:t>
            </w:r>
          </w:p>
        </w:tc>
        <w:tc>
          <w:tcPr>
            <w:tcW w:w="3261" w:type="dxa"/>
          </w:tcPr>
          <w:p w14:paraId="6A131582"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ASHRAE 90.1-2019 requirements</w:t>
            </w:r>
          </w:p>
        </w:tc>
      </w:tr>
      <w:tr w:rsidR="00052B3F" w:rsidRPr="008F0BE0" w14:paraId="2DE8C937" w14:textId="77777777" w:rsidTr="008F0BE0">
        <w:tc>
          <w:tcPr>
            <w:tcW w:w="1696" w:type="dxa"/>
            <w:vMerge/>
          </w:tcPr>
          <w:p w14:paraId="4E168E45" w14:textId="77777777" w:rsidR="00052B3F" w:rsidRPr="008F0BE0" w:rsidRDefault="00052B3F" w:rsidP="008F0BE0">
            <w:pPr>
              <w:rPr>
                <w:rFonts w:cs="Times New Roman"/>
                <w:sz w:val="18"/>
                <w:szCs w:val="18"/>
              </w:rPr>
            </w:pPr>
          </w:p>
        </w:tc>
        <w:tc>
          <w:tcPr>
            <w:tcW w:w="5103" w:type="dxa"/>
          </w:tcPr>
          <w:p w14:paraId="525CBBD1" w14:textId="77777777" w:rsidR="00052B3F" w:rsidRPr="008F0BE0" w:rsidRDefault="00052B3F" w:rsidP="008F0BE0">
            <w:pPr>
              <w:rPr>
                <w:rFonts w:cs="Times New Roman"/>
                <w:sz w:val="18"/>
                <w:szCs w:val="18"/>
              </w:rPr>
            </w:pPr>
            <w:r w:rsidRPr="008F0BE0">
              <w:rPr>
                <w:rFonts w:cs="Times New Roman"/>
                <w:sz w:val="18"/>
                <w:szCs w:val="18"/>
              </w:rPr>
              <w:t>Install demand-controlled ventilation in all spaces</w:t>
            </w:r>
          </w:p>
        </w:tc>
        <w:tc>
          <w:tcPr>
            <w:tcW w:w="3261" w:type="dxa"/>
          </w:tcPr>
          <w:p w14:paraId="4A9E1718"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Tier 2 requirements</w:t>
            </w:r>
          </w:p>
        </w:tc>
      </w:tr>
      <w:tr w:rsidR="00052B3F" w:rsidRPr="008F0BE0" w14:paraId="2707DE32" w14:textId="77777777" w:rsidTr="008F0BE0">
        <w:tc>
          <w:tcPr>
            <w:tcW w:w="1696" w:type="dxa"/>
            <w:vMerge/>
          </w:tcPr>
          <w:p w14:paraId="567C001F" w14:textId="77777777" w:rsidR="00052B3F" w:rsidRPr="008F0BE0" w:rsidRDefault="00052B3F" w:rsidP="008F0BE0">
            <w:pPr>
              <w:rPr>
                <w:rFonts w:cs="Times New Roman"/>
                <w:sz w:val="18"/>
                <w:szCs w:val="18"/>
              </w:rPr>
            </w:pPr>
          </w:p>
        </w:tc>
        <w:tc>
          <w:tcPr>
            <w:tcW w:w="5103" w:type="dxa"/>
          </w:tcPr>
          <w:p w14:paraId="6E1D877D" w14:textId="77777777" w:rsidR="00052B3F" w:rsidRPr="008F0BE0" w:rsidRDefault="00052B3F" w:rsidP="008F0BE0">
            <w:pPr>
              <w:rPr>
                <w:rFonts w:cs="Times New Roman"/>
                <w:sz w:val="18"/>
                <w:szCs w:val="18"/>
              </w:rPr>
            </w:pPr>
            <w:r w:rsidRPr="008F0BE0">
              <w:rPr>
                <w:rFonts w:cs="Times New Roman"/>
                <w:sz w:val="18"/>
                <w:szCs w:val="18"/>
              </w:rPr>
              <w:t>Utilize radiant heating/cooling where feasible</w:t>
            </w:r>
          </w:p>
        </w:tc>
        <w:tc>
          <w:tcPr>
            <w:tcW w:w="3261" w:type="dxa"/>
          </w:tcPr>
          <w:p w14:paraId="7DE3CBA1" w14:textId="33E1C7A0"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UC Berkeley</w:t>
            </w:r>
            <w:r w:rsidR="00027B17">
              <w:rPr>
                <w:rFonts w:cs="Times New Roman"/>
                <w:color w:val="000000" w:themeColor="text1"/>
                <w:sz w:val="18"/>
                <w:szCs w:val="18"/>
              </w:rPr>
              <w:t>’</w:t>
            </w:r>
            <w:r w:rsidRPr="008F0BE0">
              <w:rPr>
                <w:rFonts w:cs="Times New Roman"/>
                <w:color w:val="000000" w:themeColor="text1"/>
                <w:sz w:val="18"/>
                <w:szCs w:val="18"/>
              </w:rPr>
              <w:t>s energy-efficient design strategies</w:t>
            </w:r>
          </w:p>
        </w:tc>
      </w:tr>
      <w:tr w:rsidR="00052B3F" w:rsidRPr="008F0BE0" w14:paraId="0E2361C5" w14:textId="77777777" w:rsidTr="008F0BE0">
        <w:tc>
          <w:tcPr>
            <w:tcW w:w="1696" w:type="dxa"/>
            <w:vMerge/>
          </w:tcPr>
          <w:p w14:paraId="73E3DDA2" w14:textId="77777777" w:rsidR="00052B3F" w:rsidRPr="008F0BE0" w:rsidRDefault="00052B3F" w:rsidP="008F0BE0">
            <w:pPr>
              <w:rPr>
                <w:rFonts w:cs="Times New Roman"/>
                <w:sz w:val="18"/>
                <w:szCs w:val="18"/>
              </w:rPr>
            </w:pPr>
          </w:p>
        </w:tc>
        <w:tc>
          <w:tcPr>
            <w:tcW w:w="5103" w:type="dxa"/>
          </w:tcPr>
          <w:p w14:paraId="07BA75E8" w14:textId="77777777" w:rsidR="00052B3F" w:rsidRPr="008F0BE0" w:rsidRDefault="00052B3F" w:rsidP="008F0BE0">
            <w:pPr>
              <w:rPr>
                <w:rFonts w:cs="Times New Roman"/>
                <w:sz w:val="18"/>
                <w:szCs w:val="18"/>
              </w:rPr>
            </w:pPr>
            <w:r w:rsidRPr="008F0BE0">
              <w:rPr>
                <w:rFonts w:cs="Times New Roman"/>
                <w:sz w:val="18"/>
                <w:szCs w:val="18"/>
              </w:rPr>
              <w:t>Implement zone-level energy metering and controls</w:t>
            </w:r>
          </w:p>
        </w:tc>
        <w:tc>
          <w:tcPr>
            <w:tcW w:w="3261" w:type="dxa"/>
          </w:tcPr>
          <w:p w14:paraId="174A080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Advanced Energy Metering credit</w:t>
            </w:r>
          </w:p>
        </w:tc>
      </w:tr>
      <w:tr w:rsidR="00052B3F" w:rsidRPr="008F0BE0" w14:paraId="46DF0985" w14:textId="77777777" w:rsidTr="008F0BE0">
        <w:tc>
          <w:tcPr>
            <w:tcW w:w="1696" w:type="dxa"/>
            <w:vMerge/>
          </w:tcPr>
          <w:p w14:paraId="7E6A78E3" w14:textId="77777777" w:rsidR="00052B3F" w:rsidRPr="008F0BE0" w:rsidRDefault="00052B3F" w:rsidP="008F0BE0">
            <w:pPr>
              <w:rPr>
                <w:rFonts w:cs="Times New Roman"/>
                <w:sz w:val="18"/>
                <w:szCs w:val="18"/>
              </w:rPr>
            </w:pPr>
          </w:p>
        </w:tc>
        <w:tc>
          <w:tcPr>
            <w:tcW w:w="5103" w:type="dxa"/>
          </w:tcPr>
          <w:p w14:paraId="55AC90C1" w14:textId="77777777" w:rsidR="00052B3F" w:rsidRPr="008F0BE0" w:rsidRDefault="00052B3F" w:rsidP="008F0BE0">
            <w:pPr>
              <w:rPr>
                <w:rFonts w:cs="Times New Roman"/>
                <w:sz w:val="18"/>
                <w:szCs w:val="18"/>
              </w:rPr>
            </w:pPr>
            <w:r w:rsidRPr="008F0BE0">
              <w:rPr>
                <w:rFonts w:cs="Times New Roman"/>
                <w:sz w:val="18"/>
                <w:szCs w:val="18"/>
              </w:rPr>
              <w:t>Use variable speed drives on all pumps and fans</w:t>
            </w:r>
          </w:p>
        </w:tc>
        <w:tc>
          <w:tcPr>
            <w:tcW w:w="3261" w:type="dxa"/>
          </w:tcPr>
          <w:p w14:paraId="583A125B"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ASHRAE 90.1-2019 requirements</w:t>
            </w:r>
          </w:p>
        </w:tc>
      </w:tr>
      <w:tr w:rsidR="00052B3F" w:rsidRPr="008F0BE0" w14:paraId="7FECEC62" w14:textId="77777777" w:rsidTr="008F0BE0">
        <w:tc>
          <w:tcPr>
            <w:tcW w:w="1696" w:type="dxa"/>
            <w:vMerge/>
          </w:tcPr>
          <w:p w14:paraId="757D12B2" w14:textId="77777777" w:rsidR="00052B3F" w:rsidRPr="008F0BE0" w:rsidRDefault="00052B3F" w:rsidP="008F0BE0">
            <w:pPr>
              <w:rPr>
                <w:rFonts w:cs="Times New Roman"/>
                <w:sz w:val="18"/>
                <w:szCs w:val="18"/>
              </w:rPr>
            </w:pPr>
          </w:p>
        </w:tc>
        <w:tc>
          <w:tcPr>
            <w:tcW w:w="5103" w:type="dxa"/>
          </w:tcPr>
          <w:p w14:paraId="5A433FA2" w14:textId="77777777" w:rsidR="00052B3F" w:rsidRPr="008F0BE0" w:rsidRDefault="00052B3F" w:rsidP="008F0BE0">
            <w:pPr>
              <w:rPr>
                <w:rFonts w:cs="Times New Roman"/>
                <w:sz w:val="18"/>
                <w:szCs w:val="18"/>
              </w:rPr>
            </w:pPr>
            <w:r w:rsidRPr="008F0BE0">
              <w:rPr>
                <w:rFonts w:cs="Times New Roman"/>
                <w:sz w:val="18"/>
                <w:szCs w:val="18"/>
              </w:rPr>
              <w:t>Optimize HVAC schedules based on occupancy patterns and weather forecasts</w:t>
            </w:r>
          </w:p>
        </w:tc>
        <w:tc>
          <w:tcPr>
            <w:tcW w:w="3261" w:type="dxa"/>
          </w:tcPr>
          <w:p w14:paraId="60ED053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UW smart building controls approach</w:t>
            </w:r>
          </w:p>
        </w:tc>
      </w:tr>
      <w:tr w:rsidR="00052B3F" w:rsidRPr="008F0BE0" w14:paraId="310FFFE3" w14:textId="77777777" w:rsidTr="008F0BE0">
        <w:tc>
          <w:tcPr>
            <w:tcW w:w="1696" w:type="dxa"/>
            <w:vMerge/>
          </w:tcPr>
          <w:p w14:paraId="3F3565A9" w14:textId="77777777" w:rsidR="00052B3F" w:rsidRPr="008F0BE0" w:rsidRDefault="00052B3F" w:rsidP="008F0BE0">
            <w:pPr>
              <w:rPr>
                <w:rFonts w:cs="Times New Roman"/>
                <w:sz w:val="18"/>
                <w:szCs w:val="18"/>
              </w:rPr>
            </w:pPr>
          </w:p>
        </w:tc>
        <w:tc>
          <w:tcPr>
            <w:tcW w:w="5103" w:type="dxa"/>
          </w:tcPr>
          <w:p w14:paraId="7E89DA2F" w14:textId="77777777" w:rsidR="00052B3F" w:rsidRPr="008F0BE0" w:rsidRDefault="00052B3F" w:rsidP="008F0BE0">
            <w:pPr>
              <w:rPr>
                <w:rFonts w:cs="Times New Roman"/>
                <w:sz w:val="18"/>
                <w:szCs w:val="18"/>
              </w:rPr>
            </w:pPr>
            <w:r w:rsidRPr="008F0BE0">
              <w:rPr>
                <w:rFonts w:cs="Times New Roman"/>
                <w:sz w:val="18"/>
                <w:szCs w:val="18"/>
              </w:rPr>
              <w:t>For retrofits, prioritize electrification of heating systems</w:t>
            </w:r>
          </w:p>
        </w:tc>
        <w:tc>
          <w:tcPr>
            <w:tcW w:w="3261" w:type="dxa"/>
          </w:tcPr>
          <w:p w14:paraId="09843C75"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UC Berkeley electrification goals</w:t>
            </w:r>
          </w:p>
        </w:tc>
      </w:tr>
      <w:tr w:rsidR="00052B3F" w:rsidRPr="008F0BE0" w14:paraId="2B85727B" w14:textId="77777777" w:rsidTr="008F0BE0">
        <w:tc>
          <w:tcPr>
            <w:tcW w:w="1696" w:type="dxa"/>
            <w:vMerge w:val="restart"/>
          </w:tcPr>
          <w:p w14:paraId="4DD887D2" w14:textId="77777777" w:rsidR="00052B3F" w:rsidRPr="008F0BE0" w:rsidRDefault="00052B3F" w:rsidP="008F0BE0">
            <w:pPr>
              <w:rPr>
                <w:rFonts w:cs="Times New Roman"/>
                <w:sz w:val="18"/>
                <w:szCs w:val="18"/>
              </w:rPr>
            </w:pPr>
            <w:r w:rsidRPr="008F0BE0">
              <w:rPr>
                <w:rFonts w:cs="Times New Roman"/>
                <w:sz w:val="18"/>
                <w:szCs w:val="18"/>
              </w:rPr>
              <w:t>Lighting and Daylighting</w:t>
            </w:r>
          </w:p>
        </w:tc>
        <w:tc>
          <w:tcPr>
            <w:tcW w:w="5103" w:type="dxa"/>
          </w:tcPr>
          <w:p w14:paraId="06DF73C3" w14:textId="77777777" w:rsidR="00052B3F" w:rsidRPr="008F0BE0" w:rsidRDefault="00052B3F" w:rsidP="008F0BE0">
            <w:pPr>
              <w:rPr>
                <w:rFonts w:cs="Times New Roman"/>
                <w:sz w:val="18"/>
                <w:szCs w:val="18"/>
              </w:rPr>
            </w:pPr>
            <w:r w:rsidRPr="008F0BE0">
              <w:rPr>
                <w:rFonts w:cs="Times New Roman"/>
                <w:sz w:val="18"/>
                <w:szCs w:val="18"/>
              </w:rPr>
              <w:t>Maximum lighting power density of 4 W/m² using all LED fixtures</w:t>
            </w:r>
          </w:p>
        </w:tc>
        <w:tc>
          <w:tcPr>
            <w:tcW w:w="3261" w:type="dxa"/>
          </w:tcPr>
          <w:p w14:paraId="4568A59B"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ASHRAE 90.1-2019 requirements</w:t>
            </w:r>
          </w:p>
          <w:p w14:paraId="5AA5F3C3" w14:textId="77777777" w:rsidR="00052B3F" w:rsidRPr="008F0BE0" w:rsidRDefault="00052B3F" w:rsidP="008F0BE0">
            <w:pPr>
              <w:rPr>
                <w:rFonts w:cs="Times New Roman"/>
                <w:color w:val="000000" w:themeColor="text1"/>
                <w:sz w:val="18"/>
                <w:szCs w:val="18"/>
              </w:rPr>
            </w:pPr>
          </w:p>
        </w:tc>
      </w:tr>
      <w:tr w:rsidR="00052B3F" w:rsidRPr="008F0BE0" w14:paraId="3DFDFEE4" w14:textId="77777777" w:rsidTr="008F0BE0">
        <w:tc>
          <w:tcPr>
            <w:tcW w:w="1696" w:type="dxa"/>
            <w:vMerge/>
          </w:tcPr>
          <w:p w14:paraId="3985AF14" w14:textId="77777777" w:rsidR="00052B3F" w:rsidRPr="008F0BE0" w:rsidRDefault="00052B3F" w:rsidP="008F0BE0">
            <w:pPr>
              <w:rPr>
                <w:rFonts w:cs="Times New Roman"/>
                <w:sz w:val="18"/>
                <w:szCs w:val="18"/>
              </w:rPr>
            </w:pPr>
          </w:p>
        </w:tc>
        <w:tc>
          <w:tcPr>
            <w:tcW w:w="5103" w:type="dxa"/>
          </w:tcPr>
          <w:p w14:paraId="589A564D" w14:textId="77777777" w:rsidR="00052B3F" w:rsidRPr="008F0BE0" w:rsidRDefault="00052B3F" w:rsidP="008F0BE0">
            <w:pPr>
              <w:rPr>
                <w:rFonts w:cs="Times New Roman"/>
                <w:sz w:val="18"/>
                <w:szCs w:val="18"/>
              </w:rPr>
            </w:pPr>
            <w:r w:rsidRPr="008F0BE0">
              <w:rPr>
                <w:rFonts w:cs="Times New Roman"/>
                <w:sz w:val="18"/>
                <w:szCs w:val="18"/>
              </w:rPr>
              <w:t>Minimum 3% daylight factor in 80% of regularly occupied spaces</w:t>
            </w:r>
          </w:p>
        </w:tc>
        <w:tc>
          <w:tcPr>
            <w:tcW w:w="3261" w:type="dxa"/>
          </w:tcPr>
          <w:p w14:paraId="33ED9F1E"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Daylight credit requirements</w:t>
            </w:r>
          </w:p>
        </w:tc>
      </w:tr>
      <w:tr w:rsidR="00052B3F" w:rsidRPr="008F0BE0" w14:paraId="102E19F0" w14:textId="77777777" w:rsidTr="008F0BE0">
        <w:tc>
          <w:tcPr>
            <w:tcW w:w="1696" w:type="dxa"/>
            <w:vMerge/>
          </w:tcPr>
          <w:p w14:paraId="5428451F" w14:textId="77777777" w:rsidR="00052B3F" w:rsidRPr="008F0BE0" w:rsidRDefault="00052B3F" w:rsidP="008F0BE0">
            <w:pPr>
              <w:rPr>
                <w:rFonts w:cs="Times New Roman"/>
                <w:sz w:val="18"/>
                <w:szCs w:val="18"/>
              </w:rPr>
            </w:pPr>
          </w:p>
        </w:tc>
        <w:tc>
          <w:tcPr>
            <w:tcW w:w="5103" w:type="dxa"/>
          </w:tcPr>
          <w:p w14:paraId="27F09D5D" w14:textId="77777777" w:rsidR="00052B3F" w:rsidRPr="008F0BE0" w:rsidRDefault="00052B3F" w:rsidP="008F0BE0">
            <w:pPr>
              <w:rPr>
                <w:rFonts w:cs="Times New Roman"/>
                <w:sz w:val="18"/>
                <w:szCs w:val="18"/>
              </w:rPr>
            </w:pPr>
            <w:r w:rsidRPr="008F0BE0">
              <w:rPr>
                <w:rFonts w:cs="Times New Roman"/>
                <w:sz w:val="18"/>
                <w:szCs w:val="18"/>
              </w:rPr>
              <w:t>Automated daylight dimming controls in all perimeter zones</w:t>
            </w:r>
          </w:p>
        </w:tc>
        <w:tc>
          <w:tcPr>
            <w:tcW w:w="3261" w:type="dxa"/>
          </w:tcPr>
          <w:p w14:paraId="54D1D03A"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LEED v4.1 Interior Lighting credit</w:t>
            </w:r>
          </w:p>
        </w:tc>
      </w:tr>
      <w:tr w:rsidR="00052B3F" w:rsidRPr="008F0BE0" w14:paraId="36411620" w14:textId="77777777" w:rsidTr="008F0BE0">
        <w:tc>
          <w:tcPr>
            <w:tcW w:w="1696" w:type="dxa"/>
            <w:vMerge/>
          </w:tcPr>
          <w:p w14:paraId="53A5CFFF" w14:textId="77777777" w:rsidR="00052B3F" w:rsidRPr="008F0BE0" w:rsidRDefault="00052B3F" w:rsidP="008F0BE0">
            <w:pPr>
              <w:rPr>
                <w:rFonts w:cs="Times New Roman"/>
                <w:sz w:val="18"/>
                <w:szCs w:val="18"/>
              </w:rPr>
            </w:pPr>
          </w:p>
        </w:tc>
        <w:tc>
          <w:tcPr>
            <w:tcW w:w="5103" w:type="dxa"/>
          </w:tcPr>
          <w:p w14:paraId="1B29523D" w14:textId="77777777" w:rsidR="00052B3F" w:rsidRPr="008F0BE0" w:rsidRDefault="00052B3F" w:rsidP="008F0BE0">
            <w:pPr>
              <w:rPr>
                <w:rFonts w:cs="Times New Roman"/>
                <w:sz w:val="18"/>
                <w:szCs w:val="18"/>
              </w:rPr>
            </w:pPr>
            <w:r w:rsidRPr="008F0BE0">
              <w:rPr>
                <w:rFonts w:cs="Times New Roman"/>
                <w:sz w:val="18"/>
                <w:szCs w:val="18"/>
              </w:rPr>
              <w:t>Occupancy/vacancy sensors for lighting control in all spaces</w:t>
            </w:r>
          </w:p>
        </w:tc>
        <w:tc>
          <w:tcPr>
            <w:tcW w:w="3261" w:type="dxa"/>
          </w:tcPr>
          <w:p w14:paraId="1B44B784"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requirements</w:t>
            </w:r>
          </w:p>
        </w:tc>
      </w:tr>
      <w:tr w:rsidR="00052B3F" w:rsidRPr="008F0BE0" w14:paraId="57079D96" w14:textId="77777777" w:rsidTr="008F0BE0">
        <w:tc>
          <w:tcPr>
            <w:tcW w:w="1696" w:type="dxa"/>
            <w:vMerge/>
          </w:tcPr>
          <w:p w14:paraId="79FA94ED" w14:textId="77777777" w:rsidR="00052B3F" w:rsidRPr="008F0BE0" w:rsidRDefault="00052B3F" w:rsidP="008F0BE0">
            <w:pPr>
              <w:rPr>
                <w:rFonts w:cs="Times New Roman"/>
                <w:sz w:val="18"/>
                <w:szCs w:val="18"/>
              </w:rPr>
            </w:pPr>
          </w:p>
        </w:tc>
        <w:tc>
          <w:tcPr>
            <w:tcW w:w="5103" w:type="dxa"/>
          </w:tcPr>
          <w:p w14:paraId="1D3036FE" w14:textId="77777777" w:rsidR="00052B3F" w:rsidRPr="008F0BE0" w:rsidRDefault="00052B3F" w:rsidP="008F0BE0">
            <w:pPr>
              <w:rPr>
                <w:rFonts w:cs="Times New Roman"/>
                <w:sz w:val="18"/>
                <w:szCs w:val="18"/>
              </w:rPr>
            </w:pPr>
            <w:r w:rsidRPr="008F0BE0">
              <w:rPr>
                <w:rFonts w:cs="Times New Roman"/>
                <w:sz w:val="18"/>
                <w:szCs w:val="18"/>
              </w:rPr>
              <w:t>Implement circadian lighting strategies in key areas</w:t>
            </w:r>
          </w:p>
        </w:tc>
        <w:tc>
          <w:tcPr>
            <w:tcW w:w="3261" w:type="dxa"/>
          </w:tcPr>
          <w:p w14:paraId="5DBA8184"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WELL Building Standard</w:t>
            </w:r>
          </w:p>
        </w:tc>
      </w:tr>
      <w:tr w:rsidR="00052B3F" w:rsidRPr="008F0BE0" w14:paraId="1C904417" w14:textId="77777777" w:rsidTr="008F0BE0">
        <w:tc>
          <w:tcPr>
            <w:tcW w:w="1696" w:type="dxa"/>
            <w:vMerge/>
          </w:tcPr>
          <w:p w14:paraId="5A356E44" w14:textId="77777777" w:rsidR="00052B3F" w:rsidRPr="008F0BE0" w:rsidRDefault="00052B3F" w:rsidP="008F0BE0">
            <w:pPr>
              <w:rPr>
                <w:rFonts w:cs="Times New Roman"/>
                <w:sz w:val="18"/>
                <w:szCs w:val="18"/>
              </w:rPr>
            </w:pPr>
          </w:p>
        </w:tc>
        <w:tc>
          <w:tcPr>
            <w:tcW w:w="5103" w:type="dxa"/>
          </w:tcPr>
          <w:p w14:paraId="4ED3FA53" w14:textId="77777777" w:rsidR="00052B3F" w:rsidRPr="008F0BE0" w:rsidRDefault="00052B3F" w:rsidP="008F0BE0">
            <w:pPr>
              <w:rPr>
                <w:rFonts w:cs="Times New Roman"/>
                <w:sz w:val="18"/>
                <w:szCs w:val="18"/>
              </w:rPr>
            </w:pPr>
            <w:r w:rsidRPr="008F0BE0">
              <w:rPr>
                <w:rFonts w:cs="Times New Roman"/>
                <w:sz w:val="18"/>
                <w:szCs w:val="18"/>
              </w:rPr>
              <w:t>For retrofits, upgrade all lighting to LED with advanced controls</w:t>
            </w:r>
          </w:p>
        </w:tc>
        <w:tc>
          <w:tcPr>
            <w:tcW w:w="3261" w:type="dxa"/>
          </w:tcPr>
          <w:p w14:paraId="353710E7"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retrofit standards</w:t>
            </w:r>
          </w:p>
        </w:tc>
      </w:tr>
      <w:tr w:rsidR="00052B3F" w:rsidRPr="008F0BE0" w14:paraId="6FEA1B93" w14:textId="77777777" w:rsidTr="008F0BE0">
        <w:tc>
          <w:tcPr>
            <w:tcW w:w="1696" w:type="dxa"/>
            <w:vMerge w:val="restart"/>
          </w:tcPr>
          <w:p w14:paraId="6590D57C" w14:textId="77777777" w:rsidR="00052B3F" w:rsidRPr="008F0BE0" w:rsidRDefault="00052B3F" w:rsidP="008F0BE0">
            <w:pPr>
              <w:rPr>
                <w:rFonts w:cs="Times New Roman"/>
                <w:sz w:val="18"/>
                <w:szCs w:val="18"/>
              </w:rPr>
            </w:pPr>
            <w:r w:rsidRPr="008F0BE0">
              <w:rPr>
                <w:rFonts w:cs="Times New Roman"/>
                <w:sz w:val="18"/>
                <w:szCs w:val="18"/>
              </w:rPr>
              <w:t>Water Efficiency</w:t>
            </w:r>
          </w:p>
        </w:tc>
        <w:tc>
          <w:tcPr>
            <w:tcW w:w="5103" w:type="dxa"/>
          </w:tcPr>
          <w:p w14:paraId="3858D874" w14:textId="7477799F" w:rsidR="00052B3F" w:rsidRPr="008F0BE0" w:rsidRDefault="00052B3F" w:rsidP="008F0BE0">
            <w:pPr>
              <w:rPr>
                <w:rFonts w:cs="Times New Roman"/>
                <w:sz w:val="18"/>
                <w:szCs w:val="18"/>
              </w:rPr>
            </w:pPr>
            <w:r w:rsidRPr="008F0BE0">
              <w:rPr>
                <w:rFonts w:cs="Times New Roman"/>
                <w:sz w:val="18"/>
                <w:szCs w:val="18"/>
              </w:rPr>
              <w:t>45% reduction in indoor water use compared to LEED v4 baseline</w:t>
            </w:r>
          </w:p>
        </w:tc>
        <w:tc>
          <w:tcPr>
            <w:tcW w:w="3261" w:type="dxa"/>
          </w:tcPr>
          <w:p w14:paraId="4374B90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 xml:space="preserve">Exceeds LEED v4.1 Indoor Water Use Reduction credit </w:t>
            </w:r>
          </w:p>
        </w:tc>
      </w:tr>
      <w:tr w:rsidR="00052B3F" w:rsidRPr="008F0BE0" w14:paraId="7F9208F3" w14:textId="77777777" w:rsidTr="008F0BE0">
        <w:tc>
          <w:tcPr>
            <w:tcW w:w="1696" w:type="dxa"/>
            <w:vMerge/>
          </w:tcPr>
          <w:p w14:paraId="0330C9CC" w14:textId="77777777" w:rsidR="00052B3F" w:rsidRPr="008F0BE0" w:rsidRDefault="00052B3F" w:rsidP="008F0BE0">
            <w:pPr>
              <w:rPr>
                <w:rFonts w:cs="Times New Roman"/>
                <w:sz w:val="18"/>
                <w:szCs w:val="18"/>
              </w:rPr>
            </w:pPr>
          </w:p>
        </w:tc>
        <w:tc>
          <w:tcPr>
            <w:tcW w:w="5103" w:type="dxa"/>
          </w:tcPr>
          <w:p w14:paraId="01BA4019" w14:textId="77777777" w:rsidR="00052B3F" w:rsidRPr="008F0BE0" w:rsidRDefault="00052B3F" w:rsidP="008F0BE0">
            <w:pPr>
              <w:rPr>
                <w:rFonts w:cs="Times New Roman"/>
                <w:sz w:val="18"/>
                <w:szCs w:val="18"/>
              </w:rPr>
            </w:pPr>
            <w:r w:rsidRPr="008F0BE0">
              <w:rPr>
                <w:rFonts w:cs="Times New Roman"/>
                <w:sz w:val="18"/>
                <w:szCs w:val="18"/>
              </w:rPr>
              <w:t>60% reduction in outdoor water use for irrigation</w:t>
            </w:r>
          </w:p>
        </w:tc>
        <w:tc>
          <w:tcPr>
            <w:tcW w:w="3261" w:type="dxa"/>
          </w:tcPr>
          <w:p w14:paraId="6139C045"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Outdoor Water Use Reduction credit</w:t>
            </w:r>
          </w:p>
        </w:tc>
      </w:tr>
      <w:tr w:rsidR="00052B3F" w:rsidRPr="008F0BE0" w14:paraId="24536EF2" w14:textId="77777777" w:rsidTr="008F0BE0">
        <w:tc>
          <w:tcPr>
            <w:tcW w:w="1696" w:type="dxa"/>
            <w:vMerge/>
          </w:tcPr>
          <w:p w14:paraId="206E4E70" w14:textId="77777777" w:rsidR="00052B3F" w:rsidRPr="008F0BE0" w:rsidRDefault="00052B3F" w:rsidP="008F0BE0">
            <w:pPr>
              <w:rPr>
                <w:rFonts w:cs="Times New Roman"/>
                <w:sz w:val="18"/>
                <w:szCs w:val="18"/>
              </w:rPr>
            </w:pPr>
          </w:p>
        </w:tc>
        <w:tc>
          <w:tcPr>
            <w:tcW w:w="5103" w:type="dxa"/>
          </w:tcPr>
          <w:p w14:paraId="42C3D16A" w14:textId="77777777" w:rsidR="00052B3F" w:rsidRPr="008F0BE0" w:rsidRDefault="00052B3F" w:rsidP="008F0BE0">
            <w:pPr>
              <w:rPr>
                <w:rFonts w:cs="Times New Roman"/>
                <w:sz w:val="18"/>
                <w:szCs w:val="18"/>
              </w:rPr>
            </w:pPr>
            <w:r w:rsidRPr="008F0BE0">
              <w:rPr>
                <w:rFonts w:cs="Times New Roman"/>
                <w:sz w:val="18"/>
                <w:szCs w:val="18"/>
              </w:rPr>
              <w:t>Capture and reuse rainwater and greywater for non-potable uses</w:t>
            </w:r>
          </w:p>
        </w:tc>
        <w:tc>
          <w:tcPr>
            <w:tcW w:w="3261" w:type="dxa"/>
          </w:tcPr>
          <w:p w14:paraId="6D45A838"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TGS V4 Tier 2 requirements</w:t>
            </w:r>
          </w:p>
        </w:tc>
      </w:tr>
      <w:tr w:rsidR="00052B3F" w:rsidRPr="008F0BE0" w14:paraId="28037D15" w14:textId="77777777" w:rsidTr="008F0BE0">
        <w:tc>
          <w:tcPr>
            <w:tcW w:w="1696" w:type="dxa"/>
            <w:vMerge/>
          </w:tcPr>
          <w:p w14:paraId="2FD40478" w14:textId="77777777" w:rsidR="00052B3F" w:rsidRPr="008F0BE0" w:rsidRDefault="00052B3F" w:rsidP="008F0BE0">
            <w:pPr>
              <w:rPr>
                <w:rFonts w:cs="Times New Roman"/>
                <w:sz w:val="18"/>
                <w:szCs w:val="18"/>
              </w:rPr>
            </w:pPr>
          </w:p>
        </w:tc>
        <w:tc>
          <w:tcPr>
            <w:tcW w:w="5103" w:type="dxa"/>
          </w:tcPr>
          <w:p w14:paraId="73BC3F2A" w14:textId="77777777" w:rsidR="00052B3F" w:rsidRPr="008F0BE0" w:rsidRDefault="00052B3F" w:rsidP="008F0BE0">
            <w:pPr>
              <w:rPr>
                <w:rFonts w:cs="Times New Roman"/>
                <w:sz w:val="18"/>
                <w:szCs w:val="18"/>
              </w:rPr>
            </w:pPr>
            <w:r w:rsidRPr="008F0BE0">
              <w:rPr>
                <w:rFonts w:cs="Times New Roman"/>
                <w:sz w:val="18"/>
                <w:szCs w:val="18"/>
              </w:rPr>
              <w:t>Install water submeters for all major water-consuming processes</w:t>
            </w:r>
          </w:p>
        </w:tc>
        <w:tc>
          <w:tcPr>
            <w:tcW w:w="3261" w:type="dxa"/>
          </w:tcPr>
          <w:p w14:paraId="17D02AB7" w14:textId="77777777" w:rsidR="00052B3F" w:rsidRPr="008F0BE0" w:rsidRDefault="00052B3F" w:rsidP="008F0BE0">
            <w:pPr>
              <w:rPr>
                <w:rFonts w:cs="Times New Roman"/>
                <w:sz w:val="18"/>
                <w:szCs w:val="18"/>
              </w:rPr>
            </w:pPr>
            <w:r w:rsidRPr="008F0BE0">
              <w:rPr>
                <w:rFonts w:cs="Times New Roman"/>
                <w:sz w:val="18"/>
                <w:szCs w:val="18"/>
              </w:rPr>
              <w:t>Exceeds LEED v4.1 Water Metering credit</w:t>
            </w:r>
          </w:p>
        </w:tc>
      </w:tr>
      <w:tr w:rsidR="00052B3F" w:rsidRPr="008F0BE0" w14:paraId="3811664B" w14:textId="77777777" w:rsidTr="008F0BE0">
        <w:tc>
          <w:tcPr>
            <w:tcW w:w="1696" w:type="dxa"/>
            <w:vMerge/>
          </w:tcPr>
          <w:p w14:paraId="28E256DD" w14:textId="77777777" w:rsidR="00052B3F" w:rsidRPr="008F0BE0" w:rsidRDefault="00052B3F" w:rsidP="008F0BE0">
            <w:pPr>
              <w:rPr>
                <w:rFonts w:cs="Times New Roman"/>
                <w:sz w:val="18"/>
                <w:szCs w:val="18"/>
              </w:rPr>
            </w:pPr>
          </w:p>
        </w:tc>
        <w:tc>
          <w:tcPr>
            <w:tcW w:w="5103" w:type="dxa"/>
          </w:tcPr>
          <w:p w14:paraId="0E2B13A9" w14:textId="77777777" w:rsidR="00052B3F" w:rsidRPr="008F0BE0" w:rsidRDefault="00052B3F" w:rsidP="008F0BE0">
            <w:pPr>
              <w:rPr>
                <w:rFonts w:cs="Times New Roman"/>
                <w:sz w:val="18"/>
                <w:szCs w:val="18"/>
              </w:rPr>
            </w:pPr>
            <w:r w:rsidRPr="008F0BE0">
              <w:rPr>
                <w:rFonts w:cs="Times New Roman"/>
                <w:sz w:val="18"/>
                <w:szCs w:val="18"/>
              </w:rPr>
              <w:t>Use only WaterSense labeled fixtures</w:t>
            </w:r>
          </w:p>
        </w:tc>
        <w:tc>
          <w:tcPr>
            <w:tcW w:w="3261" w:type="dxa"/>
          </w:tcPr>
          <w:p w14:paraId="259DF6CA" w14:textId="77777777" w:rsidR="00052B3F" w:rsidRPr="008F0BE0" w:rsidRDefault="00052B3F" w:rsidP="008F0BE0">
            <w:pPr>
              <w:rPr>
                <w:rFonts w:cs="Times New Roman"/>
                <w:sz w:val="18"/>
                <w:szCs w:val="18"/>
              </w:rPr>
            </w:pPr>
            <w:r w:rsidRPr="008F0BE0">
              <w:rPr>
                <w:rFonts w:cs="Times New Roman"/>
                <w:sz w:val="18"/>
                <w:szCs w:val="18"/>
              </w:rPr>
              <w:t>Aligns with LEED v4.1 and TGS V4 requirements</w:t>
            </w:r>
          </w:p>
        </w:tc>
      </w:tr>
      <w:tr w:rsidR="00052B3F" w:rsidRPr="008F0BE0" w14:paraId="1F5C0A79" w14:textId="77777777" w:rsidTr="008F0BE0">
        <w:tc>
          <w:tcPr>
            <w:tcW w:w="1696" w:type="dxa"/>
            <w:vMerge/>
          </w:tcPr>
          <w:p w14:paraId="0E8E2CF5" w14:textId="77777777" w:rsidR="00052B3F" w:rsidRPr="008F0BE0" w:rsidRDefault="00052B3F" w:rsidP="008F0BE0">
            <w:pPr>
              <w:rPr>
                <w:rFonts w:cs="Times New Roman"/>
                <w:sz w:val="18"/>
                <w:szCs w:val="18"/>
              </w:rPr>
            </w:pPr>
          </w:p>
        </w:tc>
        <w:tc>
          <w:tcPr>
            <w:tcW w:w="5103" w:type="dxa"/>
          </w:tcPr>
          <w:p w14:paraId="7F5F6115" w14:textId="77777777" w:rsidR="00052B3F" w:rsidRPr="008F0BE0" w:rsidRDefault="00052B3F" w:rsidP="008F0BE0">
            <w:pPr>
              <w:rPr>
                <w:rFonts w:cs="Times New Roman"/>
                <w:sz w:val="18"/>
                <w:szCs w:val="18"/>
              </w:rPr>
            </w:pPr>
            <w:r w:rsidRPr="008F0BE0">
              <w:rPr>
                <w:rFonts w:cs="Times New Roman"/>
                <w:sz w:val="18"/>
                <w:szCs w:val="18"/>
              </w:rPr>
              <w:t>For existing buildings, implement a comprehensive water audit and retrofit program</w:t>
            </w:r>
          </w:p>
        </w:tc>
        <w:tc>
          <w:tcPr>
            <w:tcW w:w="3261" w:type="dxa"/>
          </w:tcPr>
          <w:p w14:paraId="091C57AC" w14:textId="77777777" w:rsidR="00052B3F" w:rsidRPr="008F0BE0" w:rsidRDefault="00052B3F" w:rsidP="008F0BE0">
            <w:pPr>
              <w:rPr>
                <w:rFonts w:cs="Times New Roman"/>
                <w:sz w:val="18"/>
                <w:szCs w:val="18"/>
              </w:rPr>
            </w:pPr>
            <w:r w:rsidRPr="008F0BE0">
              <w:rPr>
                <w:rFonts w:cs="Times New Roman"/>
                <w:sz w:val="18"/>
                <w:szCs w:val="18"/>
              </w:rPr>
              <w:t>Aligns with UofG Water Conservation Project approach</w:t>
            </w:r>
          </w:p>
        </w:tc>
      </w:tr>
      <w:tr w:rsidR="00052B3F" w:rsidRPr="008F0BE0" w14:paraId="50BA9DE0" w14:textId="77777777" w:rsidTr="008F0BE0">
        <w:tc>
          <w:tcPr>
            <w:tcW w:w="1696" w:type="dxa"/>
            <w:vMerge w:val="restart"/>
          </w:tcPr>
          <w:p w14:paraId="290A8525" w14:textId="77777777" w:rsidR="00052B3F" w:rsidRPr="008F0BE0" w:rsidRDefault="00052B3F" w:rsidP="008F0BE0">
            <w:pPr>
              <w:rPr>
                <w:rFonts w:cs="Times New Roman"/>
                <w:sz w:val="18"/>
                <w:szCs w:val="18"/>
              </w:rPr>
            </w:pPr>
            <w:r w:rsidRPr="008F0BE0">
              <w:rPr>
                <w:rFonts w:cs="Times New Roman"/>
                <w:sz w:val="18"/>
                <w:szCs w:val="18"/>
              </w:rPr>
              <w:lastRenderedPageBreak/>
              <w:t>Materials and Embodied Carbon</w:t>
            </w:r>
          </w:p>
        </w:tc>
        <w:tc>
          <w:tcPr>
            <w:tcW w:w="5103" w:type="dxa"/>
          </w:tcPr>
          <w:p w14:paraId="13A2B755" w14:textId="77777777" w:rsidR="00052B3F" w:rsidRPr="008F0BE0" w:rsidRDefault="00052B3F" w:rsidP="008F0BE0">
            <w:pPr>
              <w:rPr>
                <w:rFonts w:cs="Times New Roman"/>
                <w:sz w:val="18"/>
                <w:szCs w:val="18"/>
              </w:rPr>
            </w:pPr>
            <w:r w:rsidRPr="008F0BE0">
              <w:rPr>
                <w:rFonts w:cs="Times New Roman"/>
                <w:sz w:val="18"/>
                <w:szCs w:val="18"/>
              </w:rPr>
              <w:t>Conduct whole-building life cycle assessment and target 30% reduction in embodied carbon compared to baseline building</w:t>
            </w:r>
          </w:p>
        </w:tc>
        <w:tc>
          <w:tcPr>
            <w:tcW w:w="3261" w:type="dxa"/>
          </w:tcPr>
          <w:p w14:paraId="645FF804" w14:textId="77777777" w:rsidR="00052B3F" w:rsidRPr="008F0BE0" w:rsidRDefault="00052B3F" w:rsidP="008F0BE0">
            <w:pPr>
              <w:rPr>
                <w:rFonts w:cs="Times New Roman"/>
                <w:sz w:val="18"/>
                <w:szCs w:val="18"/>
              </w:rPr>
            </w:pPr>
            <w:r w:rsidRPr="008F0BE0">
              <w:rPr>
                <w:rFonts w:cs="Times New Roman"/>
                <w:color w:val="000000" w:themeColor="text1"/>
                <w:sz w:val="18"/>
                <w:szCs w:val="18"/>
              </w:rPr>
              <w:t>Exceeds LEED v4.1 Building Life-Cycle Impact Reduction credit</w:t>
            </w:r>
          </w:p>
        </w:tc>
      </w:tr>
      <w:tr w:rsidR="00052B3F" w:rsidRPr="008F0BE0" w14:paraId="7364CE3C" w14:textId="77777777" w:rsidTr="008F0BE0">
        <w:tc>
          <w:tcPr>
            <w:tcW w:w="1696" w:type="dxa"/>
            <w:vMerge/>
          </w:tcPr>
          <w:p w14:paraId="22476DD9" w14:textId="77777777" w:rsidR="00052B3F" w:rsidRPr="008F0BE0" w:rsidRDefault="00052B3F" w:rsidP="008F0BE0">
            <w:pPr>
              <w:rPr>
                <w:rFonts w:cs="Times New Roman"/>
                <w:sz w:val="18"/>
                <w:szCs w:val="18"/>
              </w:rPr>
            </w:pPr>
          </w:p>
        </w:tc>
        <w:tc>
          <w:tcPr>
            <w:tcW w:w="5103" w:type="dxa"/>
          </w:tcPr>
          <w:p w14:paraId="294DDEA6" w14:textId="77777777" w:rsidR="00052B3F" w:rsidRPr="008F0BE0" w:rsidRDefault="00052B3F" w:rsidP="008F0BE0">
            <w:pPr>
              <w:rPr>
                <w:rFonts w:cs="Times New Roman"/>
                <w:sz w:val="18"/>
                <w:szCs w:val="18"/>
              </w:rPr>
            </w:pPr>
            <w:r w:rsidRPr="008F0BE0">
              <w:rPr>
                <w:rFonts w:cs="Times New Roman"/>
                <w:sz w:val="18"/>
                <w:szCs w:val="18"/>
              </w:rPr>
              <w:t>Use minimum 30% recycled content materials and 20% regional materials</w:t>
            </w:r>
          </w:p>
        </w:tc>
        <w:tc>
          <w:tcPr>
            <w:tcW w:w="3261" w:type="dxa"/>
          </w:tcPr>
          <w:p w14:paraId="2B633E5A"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Recycled Content credit</w:t>
            </w:r>
          </w:p>
          <w:p w14:paraId="195BD771"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Regional Materials credit</w:t>
            </w:r>
          </w:p>
        </w:tc>
      </w:tr>
      <w:tr w:rsidR="00052B3F" w:rsidRPr="008F0BE0" w14:paraId="2E993FF6" w14:textId="77777777" w:rsidTr="008F0BE0">
        <w:tc>
          <w:tcPr>
            <w:tcW w:w="1696" w:type="dxa"/>
            <w:vMerge/>
          </w:tcPr>
          <w:p w14:paraId="7D48B8DF" w14:textId="77777777" w:rsidR="00052B3F" w:rsidRPr="008F0BE0" w:rsidRDefault="00052B3F" w:rsidP="008F0BE0">
            <w:pPr>
              <w:rPr>
                <w:rFonts w:cs="Times New Roman"/>
                <w:sz w:val="18"/>
                <w:szCs w:val="18"/>
              </w:rPr>
            </w:pPr>
          </w:p>
        </w:tc>
        <w:tc>
          <w:tcPr>
            <w:tcW w:w="5103" w:type="dxa"/>
          </w:tcPr>
          <w:p w14:paraId="69E9448F" w14:textId="77777777" w:rsidR="00052B3F" w:rsidRPr="008F0BE0" w:rsidRDefault="00052B3F" w:rsidP="008F0BE0">
            <w:pPr>
              <w:rPr>
                <w:rFonts w:cs="Times New Roman"/>
                <w:sz w:val="18"/>
                <w:szCs w:val="18"/>
              </w:rPr>
            </w:pPr>
            <w:r w:rsidRPr="008F0BE0">
              <w:rPr>
                <w:rFonts w:cs="Times New Roman"/>
                <w:sz w:val="18"/>
                <w:szCs w:val="18"/>
              </w:rPr>
              <w:t>Use minimum 70% Forest Stewardship Council certified wood products</w:t>
            </w:r>
          </w:p>
        </w:tc>
        <w:tc>
          <w:tcPr>
            <w:tcW w:w="3261" w:type="dxa"/>
          </w:tcPr>
          <w:p w14:paraId="34F82466"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Certified Wood credit</w:t>
            </w:r>
          </w:p>
        </w:tc>
      </w:tr>
      <w:tr w:rsidR="00052B3F" w:rsidRPr="008F0BE0" w14:paraId="39A60E4E" w14:textId="77777777" w:rsidTr="008F0BE0">
        <w:tc>
          <w:tcPr>
            <w:tcW w:w="1696" w:type="dxa"/>
            <w:vMerge/>
          </w:tcPr>
          <w:p w14:paraId="48379137" w14:textId="77777777" w:rsidR="00052B3F" w:rsidRPr="008F0BE0" w:rsidRDefault="00052B3F" w:rsidP="008F0BE0">
            <w:pPr>
              <w:rPr>
                <w:rFonts w:cs="Times New Roman"/>
                <w:sz w:val="18"/>
                <w:szCs w:val="18"/>
              </w:rPr>
            </w:pPr>
          </w:p>
        </w:tc>
        <w:tc>
          <w:tcPr>
            <w:tcW w:w="5103" w:type="dxa"/>
          </w:tcPr>
          <w:p w14:paraId="16CAC473" w14:textId="77777777" w:rsidR="00052B3F" w:rsidRPr="008F0BE0" w:rsidRDefault="00052B3F" w:rsidP="008F0BE0">
            <w:pPr>
              <w:rPr>
                <w:rFonts w:cs="Times New Roman"/>
                <w:sz w:val="18"/>
                <w:szCs w:val="18"/>
              </w:rPr>
            </w:pPr>
            <w:r w:rsidRPr="008F0BE0">
              <w:rPr>
                <w:rFonts w:cs="Times New Roman"/>
                <w:sz w:val="18"/>
                <w:szCs w:val="18"/>
              </w:rPr>
              <w:t>Divert minimum 85% of construction waste from landfills</w:t>
            </w:r>
          </w:p>
        </w:tc>
        <w:tc>
          <w:tcPr>
            <w:tcW w:w="3261" w:type="dxa"/>
          </w:tcPr>
          <w:p w14:paraId="7BDF1E9B"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requirements</w:t>
            </w:r>
          </w:p>
        </w:tc>
      </w:tr>
      <w:tr w:rsidR="00052B3F" w:rsidRPr="008F0BE0" w14:paraId="573D1FFB" w14:textId="77777777" w:rsidTr="008F0BE0">
        <w:tc>
          <w:tcPr>
            <w:tcW w:w="1696" w:type="dxa"/>
            <w:vMerge/>
          </w:tcPr>
          <w:p w14:paraId="327F92B0" w14:textId="77777777" w:rsidR="00052B3F" w:rsidRPr="008F0BE0" w:rsidRDefault="00052B3F" w:rsidP="008F0BE0">
            <w:pPr>
              <w:rPr>
                <w:rFonts w:cs="Times New Roman"/>
                <w:sz w:val="18"/>
                <w:szCs w:val="18"/>
              </w:rPr>
            </w:pPr>
          </w:p>
        </w:tc>
        <w:tc>
          <w:tcPr>
            <w:tcW w:w="5103" w:type="dxa"/>
          </w:tcPr>
          <w:p w14:paraId="632B474C" w14:textId="77777777" w:rsidR="00052B3F" w:rsidRPr="008F0BE0" w:rsidRDefault="00052B3F" w:rsidP="008F0BE0">
            <w:pPr>
              <w:rPr>
                <w:rFonts w:cs="Times New Roman"/>
                <w:sz w:val="18"/>
                <w:szCs w:val="18"/>
              </w:rPr>
            </w:pPr>
            <w:r w:rsidRPr="008F0BE0">
              <w:rPr>
                <w:rFonts w:cs="Times New Roman"/>
                <w:sz w:val="18"/>
                <w:szCs w:val="18"/>
              </w:rPr>
              <w:t>Prioritize use of low-carbon concrete mixes and mass timber where appropriate</w:t>
            </w:r>
          </w:p>
        </w:tc>
        <w:tc>
          <w:tcPr>
            <w:tcW w:w="3261" w:type="dxa"/>
          </w:tcPr>
          <w:p w14:paraId="0E5B14E4"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UofT mass timber initiatives</w:t>
            </w:r>
          </w:p>
        </w:tc>
      </w:tr>
      <w:tr w:rsidR="00052B3F" w:rsidRPr="008F0BE0" w14:paraId="65509DF0" w14:textId="77777777" w:rsidTr="008F0BE0">
        <w:tc>
          <w:tcPr>
            <w:tcW w:w="1696" w:type="dxa"/>
            <w:vMerge/>
          </w:tcPr>
          <w:p w14:paraId="5F00C004" w14:textId="77777777" w:rsidR="00052B3F" w:rsidRPr="008F0BE0" w:rsidRDefault="00052B3F" w:rsidP="008F0BE0">
            <w:pPr>
              <w:rPr>
                <w:rFonts w:cs="Times New Roman"/>
                <w:sz w:val="18"/>
                <w:szCs w:val="18"/>
              </w:rPr>
            </w:pPr>
          </w:p>
        </w:tc>
        <w:tc>
          <w:tcPr>
            <w:tcW w:w="5103" w:type="dxa"/>
          </w:tcPr>
          <w:p w14:paraId="3AD33F82" w14:textId="77777777" w:rsidR="00052B3F" w:rsidRPr="008F0BE0" w:rsidRDefault="00052B3F" w:rsidP="008F0BE0">
            <w:pPr>
              <w:rPr>
                <w:rFonts w:cs="Times New Roman"/>
                <w:sz w:val="18"/>
                <w:szCs w:val="18"/>
              </w:rPr>
            </w:pPr>
            <w:r w:rsidRPr="008F0BE0">
              <w:rPr>
                <w:rFonts w:cs="Times New Roman"/>
                <w:sz w:val="18"/>
                <w:szCs w:val="18"/>
              </w:rPr>
              <w:t>For major renovations, emphasize material reuse and upcycling</w:t>
            </w:r>
          </w:p>
        </w:tc>
        <w:tc>
          <w:tcPr>
            <w:tcW w:w="3261" w:type="dxa"/>
          </w:tcPr>
          <w:p w14:paraId="553820D6"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circular economy principles</w:t>
            </w:r>
          </w:p>
        </w:tc>
      </w:tr>
      <w:tr w:rsidR="00052B3F" w:rsidRPr="008F0BE0" w14:paraId="4C4D53D2" w14:textId="77777777" w:rsidTr="008F0BE0">
        <w:tc>
          <w:tcPr>
            <w:tcW w:w="1696" w:type="dxa"/>
            <w:vMerge w:val="restart"/>
          </w:tcPr>
          <w:p w14:paraId="60C7E51D" w14:textId="77777777" w:rsidR="00052B3F" w:rsidRPr="008F0BE0" w:rsidRDefault="00052B3F" w:rsidP="008F0BE0">
            <w:pPr>
              <w:rPr>
                <w:rFonts w:cs="Times New Roman"/>
                <w:sz w:val="18"/>
                <w:szCs w:val="18"/>
              </w:rPr>
            </w:pPr>
            <w:r w:rsidRPr="008F0BE0">
              <w:rPr>
                <w:rFonts w:cs="Times New Roman"/>
                <w:sz w:val="18"/>
                <w:szCs w:val="18"/>
              </w:rPr>
              <w:t>Indoor Environmental Quality</w:t>
            </w:r>
          </w:p>
        </w:tc>
        <w:tc>
          <w:tcPr>
            <w:tcW w:w="5103" w:type="dxa"/>
          </w:tcPr>
          <w:p w14:paraId="6FAD7D12" w14:textId="77777777" w:rsidR="00052B3F" w:rsidRPr="008F0BE0" w:rsidRDefault="00052B3F" w:rsidP="008F0BE0">
            <w:pPr>
              <w:rPr>
                <w:rFonts w:cs="Times New Roman"/>
                <w:sz w:val="18"/>
                <w:szCs w:val="18"/>
              </w:rPr>
            </w:pPr>
            <w:r w:rsidRPr="008F0BE0">
              <w:rPr>
                <w:rFonts w:cs="Times New Roman"/>
                <w:sz w:val="18"/>
                <w:szCs w:val="18"/>
              </w:rPr>
              <w:t>Meet or exceed all ASHRAE 62.1-2019 requirements for ventilation</w:t>
            </w:r>
          </w:p>
        </w:tc>
        <w:tc>
          <w:tcPr>
            <w:tcW w:w="3261" w:type="dxa"/>
          </w:tcPr>
          <w:p w14:paraId="6DA41F3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Enhanced Indoor Air Quality Strategies credit</w:t>
            </w:r>
          </w:p>
        </w:tc>
      </w:tr>
      <w:tr w:rsidR="00052B3F" w:rsidRPr="008F0BE0" w14:paraId="081A5940" w14:textId="77777777" w:rsidTr="008F0BE0">
        <w:tc>
          <w:tcPr>
            <w:tcW w:w="1696" w:type="dxa"/>
            <w:vMerge/>
          </w:tcPr>
          <w:p w14:paraId="4D9581F8" w14:textId="77777777" w:rsidR="00052B3F" w:rsidRPr="008F0BE0" w:rsidRDefault="00052B3F" w:rsidP="008F0BE0">
            <w:pPr>
              <w:rPr>
                <w:rFonts w:cs="Times New Roman"/>
                <w:sz w:val="18"/>
                <w:szCs w:val="18"/>
              </w:rPr>
            </w:pPr>
          </w:p>
        </w:tc>
        <w:tc>
          <w:tcPr>
            <w:tcW w:w="5103" w:type="dxa"/>
          </w:tcPr>
          <w:p w14:paraId="7BA7E965" w14:textId="77777777" w:rsidR="00052B3F" w:rsidRPr="008F0BE0" w:rsidRDefault="00052B3F" w:rsidP="008F0BE0">
            <w:pPr>
              <w:rPr>
                <w:rFonts w:cs="Times New Roman"/>
                <w:sz w:val="18"/>
                <w:szCs w:val="18"/>
              </w:rPr>
            </w:pPr>
            <w:r w:rsidRPr="008F0BE0">
              <w:rPr>
                <w:rFonts w:cs="Times New Roman"/>
                <w:sz w:val="18"/>
                <w:szCs w:val="18"/>
              </w:rPr>
              <w:t xml:space="preserve">Use only low-VOC materials and finishes </w:t>
            </w:r>
          </w:p>
        </w:tc>
        <w:tc>
          <w:tcPr>
            <w:tcW w:w="3261" w:type="dxa"/>
          </w:tcPr>
          <w:p w14:paraId="73B1D3E1"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LEED v4.1 Low-Emitting Materials credit</w:t>
            </w:r>
          </w:p>
        </w:tc>
      </w:tr>
      <w:tr w:rsidR="00052B3F" w:rsidRPr="008F0BE0" w14:paraId="5440E86D" w14:textId="77777777" w:rsidTr="008F0BE0">
        <w:tc>
          <w:tcPr>
            <w:tcW w:w="1696" w:type="dxa"/>
            <w:vMerge/>
          </w:tcPr>
          <w:p w14:paraId="75DE9F20" w14:textId="77777777" w:rsidR="00052B3F" w:rsidRPr="008F0BE0" w:rsidRDefault="00052B3F" w:rsidP="008F0BE0">
            <w:pPr>
              <w:rPr>
                <w:rFonts w:cs="Times New Roman"/>
                <w:sz w:val="18"/>
                <w:szCs w:val="18"/>
              </w:rPr>
            </w:pPr>
          </w:p>
        </w:tc>
        <w:tc>
          <w:tcPr>
            <w:tcW w:w="5103" w:type="dxa"/>
          </w:tcPr>
          <w:p w14:paraId="788B7546" w14:textId="77777777" w:rsidR="00052B3F" w:rsidRPr="008F0BE0" w:rsidRDefault="00052B3F" w:rsidP="008F0BE0">
            <w:pPr>
              <w:rPr>
                <w:rFonts w:cs="Times New Roman"/>
                <w:sz w:val="18"/>
                <w:szCs w:val="18"/>
              </w:rPr>
            </w:pPr>
            <w:r w:rsidRPr="008F0BE0">
              <w:rPr>
                <w:rFonts w:cs="Times New Roman"/>
                <w:sz w:val="18"/>
                <w:szCs w:val="18"/>
              </w:rPr>
              <w:t>Provide individual thermal comfort controls for 75% of occupants</w:t>
            </w:r>
          </w:p>
        </w:tc>
        <w:tc>
          <w:tcPr>
            <w:tcW w:w="3261" w:type="dxa"/>
          </w:tcPr>
          <w:p w14:paraId="191EF8F1"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Thermal Comfort credit</w:t>
            </w:r>
          </w:p>
        </w:tc>
      </w:tr>
      <w:tr w:rsidR="00052B3F" w:rsidRPr="008F0BE0" w14:paraId="1E6DA377" w14:textId="77777777" w:rsidTr="008F0BE0">
        <w:tc>
          <w:tcPr>
            <w:tcW w:w="1696" w:type="dxa"/>
            <w:vMerge/>
          </w:tcPr>
          <w:p w14:paraId="59218440" w14:textId="77777777" w:rsidR="00052B3F" w:rsidRPr="008F0BE0" w:rsidRDefault="00052B3F" w:rsidP="008F0BE0">
            <w:pPr>
              <w:rPr>
                <w:rFonts w:cs="Times New Roman"/>
                <w:sz w:val="18"/>
                <w:szCs w:val="18"/>
              </w:rPr>
            </w:pPr>
          </w:p>
        </w:tc>
        <w:tc>
          <w:tcPr>
            <w:tcW w:w="5103" w:type="dxa"/>
          </w:tcPr>
          <w:p w14:paraId="75DB5F3E" w14:textId="77777777" w:rsidR="00052B3F" w:rsidRPr="008F0BE0" w:rsidRDefault="00052B3F" w:rsidP="008F0BE0">
            <w:pPr>
              <w:rPr>
                <w:rFonts w:cs="Times New Roman"/>
                <w:sz w:val="18"/>
                <w:szCs w:val="18"/>
              </w:rPr>
            </w:pPr>
            <w:r w:rsidRPr="008F0BE0">
              <w:rPr>
                <w:rFonts w:cs="Times New Roman"/>
                <w:sz w:val="18"/>
                <w:szCs w:val="18"/>
              </w:rPr>
              <w:t>Achieve WELL Building Standard certification or equivalent</w:t>
            </w:r>
          </w:p>
        </w:tc>
        <w:tc>
          <w:tcPr>
            <w:tcW w:w="3261" w:type="dxa"/>
          </w:tcPr>
          <w:p w14:paraId="7BE1BF1D" w14:textId="77777777" w:rsidR="00052B3F" w:rsidRPr="008F0BE0" w:rsidRDefault="00052B3F" w:rsidP="008F0BE0">
            <w:pPr>
              <w:rPr>
                <w:rFonts w:cs="Times New Roman"/>
                <w:sz w:val="18"/>
                <w:szCs w:val="18"/>
              </w:rPr>
            </w:pPr>
            <w:r w:rsidRPr="008F0BE0">
              <w:rPr>
                <w:rFonts w:cs="Times New Roman"/>
                <w:sz w:val="18"/>
                <w:szCs w:val="18"/>
              </w:rPr>
              <w:t>Exceeds typical green building standards</w:t>
            </w:r>
          </w:p>
        </w:tc>
      </w:tr>
      <w:tr w:rsidR="00052B3F" w:rsidRPr="008F0BE0" w14:paraId="4C551B76" w14:textId="77777777" w:rsidTr="008F0BE0">
        <w:tc>
          <w:tcPr>
            <w:tcW w:w="1696" w:type="dxa"/>
            <w:vMerge/>
          </w:tcPr>
          <w:p w14:paraId="6F24BD4E" w14:textId="77777777" w:rsidR="00052B3F" w:rsidRPr="008F0BE0" w:rsidRDefault="00052B3F" w:rsidP="008F0BE0">
            <w:pPr>
              <w:rPr>
                <w:rFonts w:cs="Times New Roman"/>
                <w:sz w:val="18"/>
                <w:szCs w:val="18"/>
              </w:rPr>
            </w:pPr>
          </w:p>
        </w:tc>
        <w:tc>
          <w:tcPr>
            <w:tcW w:w="5103" w:type="dxa"/>
          </w:tcPr>
          <w:p w14:paraId="6F7F5890" w14:textId="77777777" w:rsidR="00052B3F" w:rsidRPr="008F0BE0" w:rsidRDefault="00052B3F" w:rsidP="008F0BE0">
            <w:pPr>
              <w:rPr>
                <w:rFonts w:cs="Times New Roman"/>
                <w:sz w:val="18"/>
                <w:szCs w:val="18"/>
              </w:rPr>
            </w:pPr>
            <w:r w:rsidRPr="008F0BE0">
              <w:rPr>
                <w:rFonts w:cs="Times New Roman"/>
                <w:sz w:val="18"/>
                <w:szCs w:val="18"/>
              </w:rPr>
              <w:t>Implement a green cleaning program using only certified green cleaning products</w:t>
            </w:r>
          </w:p>
        </w:tc>
        <w:tc>
          <w:tcPr>
            <w:tcW w:w="3261" w:type="dxa"/>
          </w:tcPr>
          <w:p w14:paraId="037576A4" w14:textId="77777777" w:rsidR="00052B3F" w:rsidRPr="008F0BE0" w:rsidRDefault="00052B3F" w:rsidP="008F0BE0">
            <w:pPr>
              <w:rPr>
                <w:rFonts w:cs="Times New Roman"/>
                <w:sz w:val="18"/>
                <w:szCs w:val="18"/>
              </w:rPr>
            </w:pPr>
            <w:r w:rsidRPr="008F0BE0">
              <w:rPr>
                <w:rFonts w:cs="Times New Roman"/>
                <w:sz w:val="18"/>
                <w:szCs w:val="18"/>
              </w:rPr>
              <w:t>Aligns with LEED v4.1 Green Cleaning credit</w:t>
            </w:r>
          </w:p>
        </w:tc>
      </w:tr>
      <w:tr w:rsidR="00052B3F" w:rsidRPr="008F0BE0" w14:paraId="5C1761C4" w14:textId="77777777" w:rsidTr="008F0BE0">
        <w:tc>
          <w:tcPr>
            <w:tcW w:w="1696" w:type="dxa"/>
            <w:vMerge/>
          </w:tcPr>
          <w:p w14:paraId="780B6C4F" w14:textId="77777777" w:rsidR="00052B3F" w:rsidRPr="008F0BE0" w:rsidRDefault="00052B3F" w:rsidP="008F0BE0">
            <w:pPr>
              <w:rPr>
                <w:rFonts w:cs="Times New Roman"/>
                <w:sz w:val="18"/>
                <w:szCs w:val="18"/>
              </w:rPr>
            </w:pPr>
          </w:p>
        </w:tc>
        <w:tc>
          <w:tcPr>
            <w:tcW w:w="5103" w:type="dxa"/>
          </w:tcPr>
          <w:p w14:paraId="694708DC" w14:textId="77777777" w:rsidR="00052B3F" w:rsidRPr="008F0BE0" w:rsidRDefault="00052B3F" w:rsidP="008F0BE0">
            <w:pPr>
              <w:rPr>
                <w:rFonts w:cs="Times New Roman"/>
                <w:sz w:val="18"/>
                <w:szCs w:val="18"/>
              </w:rPr>
            </w:pPr>
            <w:r w:rsidRPr="008F0BE0">
              <w:rPr>
                <w:rFonts w:cs="Times New Roman"/>
                <w:sz w:val="18"/>
                <w:szCs w:val="18"/>
              </w:rPr>
              <w:t>Conduct regular indoor air quality testing and monitoring</w:t>
            </w:r>
          </w:p>
        </w:tc>
        <w:tc>
          <w:tcPr>
            <w:tcW w:w="3261" w:type="dxa"/>
          </w:tcPr>
          <w:p w14:paraId="652BCAFE" w14:textId="77777777" w:rsidR="00052B3F" w:rsidRPr="008F0BE0" w:rsidRDefault="00052B3F" w:rsidP="008F0BE0">
            <w:pPr>
              <w:rPr>
                <w:rFonts w:cs="Times New Roman"/>
                <w:sz w:val="18"/>
                <w:szCs w:val="18"/>
              </w:rPr>
            </w:pPr>
            <w:r w:rsidRPr="008F0BE0">
              <w:rPr>
                <w:rFonts w:cs="Times New Roman"/>
                <w:sz w:val="18"/>
                <w:szCs w:val="18"/>
              </w:rPr>
              <w:t>Exceeds LEED v4.1 Indoor Air Quality Assessment credit</w:t>
            </w:r>
          </w:p>
        </w:tc>
      </w:tr>
      <w:tr w:rsidR="00052B3F" w:rsidRPr="008F0BE0" w14:paraId="74AC3F03" w14:textId="77777777" w:rsidTr="008F0BE0">
        <w:tc>
          <w:tcPr>
            <w:tcW w:w="1696" w:type="dxa"/>
            <w:vMerge/>
          </w:tcPr>
          <w:p w14:paraId="080E80D6" w14:textId="77777777" w:rsidR="00052B3F" w:rsidRPr="008F0BE0" w:rsidRDefault="00052B3F" w:rsidP="008F0BE0">
            <w:pPr>
              <w:rPr>
                <w:rFonts w:cs="Times New Roman"/>
                <w:sz w:val="18"/>
                <w:szCs w:val="18"/>
              </w:rPr>
            </w:pPr>
          </w:p>
        </w:tc>
        <w:tc>
          <w:tcPr>
            <w:tcW w:w="5103" w:type="dxa"/>
          </w:tcPr>
          <w:p w14:paraId="2F71430C" w14:textId="77777777" w:rsidR="00052B3F" w:rsidRPr="008F0BE0" w:rsidRDefault="00052B3F" w:rsidP="008F0BE0">
            <w:pPr>
              <w:rPr>
                <w:rFonts w:cs="Times New Roman"/>
                <w:sz w:val="18"/>
                <w:szCs w:val="18"/>
              </w:rPr>
            </w:pPr>
            <w:r w:rsidRPr="008F0BE0">
              <w:rPr>
                <w:rFonts w:cs="Times New Roman"/>
                <w:sz w:val="18"/>
                <w:szCs w:val="18"/>
              </w:rPr>
              <w:t>For retrofits: Prioritize ventilation and air filtration improvements</w:t>
            </w:r>
          </w:p>
        </w:tc>
        <w:tc>
          <w:tcPr>
            <w:tcW w:w="3261" w:type="dxa"/>
          </w:tcPr>
          <w:p w14:paraId="2725EAC5" w14:textId="77777777" w:rsidR="00052B3F" w:rsidRPr="008F0BE0" w:rsidRDefault="00052B3F" w:rsidP="008F0BE0">
            <w:pPr>
              <w:rPr>
                <w:rFonts w:cs="Times New Roman"/>
                <w:sz w:val="18"/>
                <w:szCs w:val="18"/>
              </w:rPr>
            </w:pPr>
            <w:r w:rsidRPr="008F0BE0">
              <w:rPr>
                <w:rFonts w:cs="Times New Roman"/>
                <w:sz w:val="18"/>
                <w:szCs w:val="18"/>
              </w:rPr>
              <w:t xml:space="preserve">Aligns with post-COVID-19 indoor air quality focus </w:t>
            </w:r>
          </w:p>
        </w:tc>
      </w:tr>
      <w:tr w:rsidR="00052B3F" w:rsidRPr="008F0BE0" w14:paraId="491CDC6F" w14:textId="77777777" w:rsidTr="008F0BE0">
        <w:tc>
          <w:tcPr>
            <w:tcW w:w="1696" w:type="dxa"/>
            <w:vMerge w:val="restart"/>
          </w:tcPr>
          <w:p w14:paraId="0EFA3FD1" w14:textId="77777777" w:rsidR="00052B3F" w:rsidRPr="008F0BE0" w:rsidRDefault="00052B3F" w:rsidP="008F0BE0">
            <w:pPr>
              <w:rPr>
                <w:rFonts w:cs="Times New Roman"/>
                <w:sz w:val="18"/>
                <w:szCs w:val="18"/>
              </w:rPr>
            </w:pPr>
            <w:r w:rsidRPr="008F0BE0">
              <w:rPr>
                <w:rFonts w:cs="Times New Roman"/>
                <w:sz w:val="18"/>
                <w:szCs w:val="18"/>
              </w:rPr>
              <w:t>Electrification and Fossil Fuel Phase-Out</w:t>
            </w:r>
          </w:p>
        </w:tc>
        <w:tc>
          <w:tcPr>
            <w:tcW w:w="5103" w:type="dxa"/>
          </w:tcPr>
          <w:p w14:paraId="316EF3CB" w14:textId="77777777" w:rsidR="00052B3F" w:rsidRPr="008F0BE0" w:rsidRDefault="00052B3F" w:rsidP="008F0BE0">
            <w:pPr>
              <w:rPr>
                <w:rFonts w:cs="Times New Roman"/>
                <w:sz w:val="18"/>
                <w:szCs w:val="18"/>
              </w:rPr>
            </w:pPr>
            <w:r w:rsidRPr="008F0BE0">
              <w:rPr>
                <w:rFonts w:cs="Times New Roman"/>
                <w:sz w:val="18"/>
                <w:szCs w:val="18"/>
              </w:rPr>
              <w:t>0% on-site fossil fuel combustion for all end uses in new buildings</w:t>
            </w:r>
          </w:p>
        </w:tc>
        <w:tc>
          <w:tcPr>
            <w:tcW w:w="3261" w:type="dxa"/>
          </w:tcPr>
          <w:p w14:paraId="088B757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Tier 2</w:t>
            </w:r>
          </w:p>
          <w:p w14:paraId="6924F02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UC Berkeley fossil fuel prohibition</w:t>
            </w:r>
          </w:p>
        </w:tc>
      </w:tr>
      <w:tr w:rsidR="00052B3F" w:rsidRPr="008F0BE0" w14:paraId="659572E8" w14:textId="77777777" w:rsidTr="008F0BE0">
        <w:tc>
          <w:tcPr>
            <w:tcW w:w="1696" w:type="dxa"/>
            <w:vMerge/>
          </w:tcPr>
          <w:p w14:paraId="73415BDF" w14:textId="77777777" w:rsidR="00052B3F" w:rsidRPr="008F0BE0" w:rsidRDefault="00052B3F" w:rsidP="008F0BE0">
            <w:pPr>
              <w:rPr>
                <w:rFonts w:cs="Times New Roman"/>
                <w:sz w:val="18"/>
                <w:szCs w:val="18"/>
              </w:rPr>
            </w:pPr>
          </w:p>
        </w:tc>
        <w:tc>
          <w:tcPr>
            <w:tcW w:w="5103" w:type="dxa"/>
          </w:tcPr>
          <w:p w14:paraId="2D6E7A24" w14:textId="77777777" w:rsidR="00052B3F" w:rsidRPr="008F0BE0" w:rsidRDefault="00052B3F" w:rsidP="008F0BE0">
            <w:pPr>
              <w:rPr>
                <w:rFonts w:cs="Times New Roman"/>
                <w:sz w:val="18"/>
                <w:szCs w:val="18"/>
              </w:rPr>
            </w:pPr>
            <w:r w:rsidRPr="008F0BE0">
              <w:rPr>
                <w:rFonts w:cs="Times New Roman"/>
                <w:sz w:val="18"/>
                <w:szCs w:val="18"/>
              </w:rPr>
              <w:t>Develop a 10-year plan to phase out natural gas use in existing buildings through electrification</w:t>
            </w:r>
          </w:p>
        </w:tc>
        <w:tc>
          <w:tcPr>
            <w:tcW w:w="3261" w:type="dxa"/>
          </w:tcPr>
          <w:p w14:paraId="025081F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institutional decarbonization timelines</w:t>
            </w:r>
          </w:p>
        </w:tc>
      </w:tr>
      <w:tr w:rsidR="00052B3F" w:rsidRPr="008F0BE0" w14:paraId="05A569B6" w14:textId="77777777" w:rsidTr="008F0BE0">
        <w:tc>
          <w:tcPr>
            <w:tcW w:w="1696" w:type="dxa"/>
            <w:vMerge/>
          </w:tcPr>
          <w:p w14:paraId="31661A42" w14:textId="77777777" w:rsidR="00052B3F" w:rsidRPr="008F0BE0" w:rsidRDefault="00052B3F" w:rsidP="008F0BE0">
            <w:pPr>
              <w:rPr>
                <w:rFonts w:cs="Times New Roman"/>
                <w:sz w:val="18"/>
                <w:szCs w:val="18"/>
              </w:rPr>
            </w:pPr>
          </w:p>
        </w:tc>
        <w:tc>
          <w:tcPr>
            <w:tcW w:w="5103" w:type="dxa"/>
          </w:tcPr>
          <w:p w14:paraId="350A16A4" w14:textId="77777777" w:rsidR="00052B3F" w:rsidRPr="008F0BE0" w:rsidRDefault="00052B3F" w:rsidP="008F0BE0">
            <w:pPr>
              <w:rPr>
                <w:rFonts w:cs="Times New Roman"/>
                <w:sz w:val="18"/>
                <w:szCs w:val="18"/>
              </w:rPr>
            </w:pPr>
            <w:r w:rsidRPr="008F0BE0">
              <w:rPr>
                <w:rFonts w:cs="Times New Roman"/>
                <w:sz w:val="18"/>
                <w:szCs w:val="18"/>
              </w:rPr>
              <w:t>Utilize high-efficiency electric heat pump technology for heating and cooling</w:t>
            </w:r>
          </w:p>
        </w:tc>
        <w:tc>
          <w:tcPr>
            <w:tcW w:w="3261" w:type="dxa"/>
          </w:tcPr>
          <w:p w14:paraId="5F13620D"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leading electrification strategies</w:t>
            </w:r>
          </w:p>
        </w:tc>
      </w:tr>
      <w:tr w:rsidR="00052B3F" w:rsidRPr="008F0BE0" w14:paraId="79044FC1" w14:textId="77777777" w:rsidTr="008F0BE0">
        <w:tc>
          <w:tcPr>
            <w:tcW w:w="1696" w:type="dxa"/>
            <w:vMerge/>
          </w:tcPr>
          <w:p w14:paraId="35D52E8E" w14:textId="77777777" w:rsidR="00052B3F" w:rsidRPr="008F0BE0" w:rsidRDefault="00052B3F" w:rsidP="008F0BE0">
            <w:pPr>
              <w:rPr>
                <w:rFonts w:cs="Times New Roman"/>
                <w:sz w:val="18"/>
                <w:szCs w:val="18"/>
              </w:rPr>
            </w:pPr>
          </w:p>
        </w:tc>
        <w:tc>
          <w:tcPr>
            <w:tcW w:w="5103" w:type="dxa"/>
          </w:tcPr>
          <w:p w14:paraId="4E67C358" w14:textId="77777777" w:rsidR="00052B3F" w:rsidRPr="008F0BE0" w:rsidRDefault="00052B3F" w:rsidP="008F0BE0">
            <w:pPr>
              <w:rPr>
                <w:rFonts w:cs="Times New Roman"/>
                <w:sz w:val="18"/>
                <w:szCs w:val="18"/>
              </w:rPr>
            </w:pPr>
            <w:r w:rsidRPr="008F0BE0">
              <w:rPr>
                <w:rFonts w:cs="Times New Roman"/>
                <w:sz w:val="18"/>
                <w:szCs w:val="18"/>
              </w:rPr>
              <w:t>Implement electric vehicle charging infrastructure exceeding local requirements</w:t>
            </w:r>
          </w:p>
        </w:tc>
        <w:tc>
          <w:tcPr>
            <w:tcW w:w="3261" w:type="dxa"/>
          </w:tcPr>
          <w:p w14:paraId="7DBDE4ED" w14:textId="77777777" w:rsidR="00052B3F" w:rsidRPr="008F0BE0" w:rsidRDefault="00052B3F" w:rsidP="008F0BE0">
            <w:pPr>
              <w:rPr>
                <w:rFonts w:cs="Times New Roman"/>
                <w:sz w:val="18"/>
                <w:szCs w:val="18"/>
              </w:rPr>
            </w:pPr>
            <w:r w:rsidRPr="008F0BE0">
              <w:rPr>
                <w:rFonts w:cs="Times New Roman"/>
                <w:sz w:val="18"/>
                <w:szCs w:val="18"/>
              </w:rPr>
              <w:t>Exceeds TGS V4 Tier 2 EV readiness requirements</w:t>
            </w:r>
          </w:p>
        </w:tc>
      </w:tr>
      <w:tr w:rsidR="00052B3F" w:rsidRPr="008F0BE0" w14:paraId="127A3298" w14:textId="77777777" w:rsidTr="008F0BE0">
        <w:tc>
          <w:tcPr>
            <w:tcW w:w="1696" w:type="dxa"/>
            <w:vMerge/>
          </w:tcPr>
          <w:p w14:paraId="3574A277" w14:textId="77777777" w:rsidR="00052B3F" w:rsidRPr="008F0BE0" w:rsidRDefault="00052B3F" w:rsidP="008F0BE0">
            <w:pPr>
              <w:rPr>
                <w:rFonts w:cs="Times New Roman"/>
                <w:sz w:val="18"/>
                <w:szCs w:val="18"/>
              </w:rPr>
            </w:pPr>
          </w:p>
        </w:tc>
        <w:tc>
          <w:tcPr>
            <w:tcW w:w="5103" w:type="dxa"/>
          </w:tcPr>
          <w:p w14:paraId="568972BD" w14:textId="77777777" w:rsidR="00052B3F" w:rsidRPr="008F0BE0" w:rsidRDefault="00052B3F" w:rsidP="008F0BE0">
            <w:pPr>
              <w:rPr>
                <w:rFonts w:cs="Times New Roman"/>
                <w:sz w:val="18"/>
                <w:szCs w:val="18"/>
              </w:rPr>
            </w:pPr>
            <w:r w:rsidRPr="008F0BE0">
              <w:rPr>
                <w:rFonts w:cs="Times New Roman"/>
                <w:sz w:val="18"/>
                <w:szCs w:val="18"/>
              </w:rPr>
              <w:t>Explore opportunities for thermal energy storage to support grid flexibility</w:t>
            </w:r>
          </w:p>
        </w:tc>
        <w:tc>
          <w:tcPr>
            <w:tcW w:w="3261" w:type="dxa"/>
          </w:tcPr>
          <w:p w14:paraId="7203AFBF" w14:textId="77777777" w:rsidR="00052B3F" w:rsidRPr="008F0BE0" w:rsidRDefault="00052B3F" w:rsidP="008F0BE0">
            <w:pPr>
              <w:rPr>
                <w:rFonts w:cs="Times New Roman"/>
                <w:sz w:val="18"/>
                <w:szCs w:val="18"/>
              </w:rPr>
            </w:pPr>
            <w:r w:rsidRPr="008F0BE0">
              <w:rPr>
                <w:rFonts w:cs="Times New Roman"/>
                <w:sz w:val="18"/>
                <w:szCs w:val="18"/>
              </w:rPr>
              <w:t xml:space="preserve">Aligns with emerging grid-interactive building strategies </w:t>
            </w:r>
          </w:p>
        </w:tc>
      </w:tr>
      <w:tr w:rsidR="00052B3F" w:rsidRPr="008F0BE0" w14:paraId="5ED19A97" w14:textId="77777777" w:rsidTr="008F0BE0">
        <w:tc>
          <w:tcPr>
            <w:tcW w:w="1696" w:type="dxa"/>
            <w:vMerge w:val="restart"/>
          </w:tcPr>
          <w:p w14:paraId="74F39C99" w14:textId="77777777" w:rsidR="00052B3F" w:rsidRPr="008F0BE0" w:rsidRDefault="00052B3F" w:rsidP="008F0BE0">
            <w:pPr>
              <w:rPr>
                <w:rFonts w:cs="Times New Roman"/>
                <w:sz w:val="18"/>
                <w:szCs w:val="18"/>
              </w:rPr>
            </w:pPr>
            <w:r w:rsidRPr="008F0BE0">
              <w:rPr>
                <w:rFonts w:cs="Times New Roman"/>
                <w:sz w:val="18"/>
                <w:szCs w:val="18"/>
              </w:rPr>
              <w:t>Stormwater Management</w:t>
            </w:r>
          </w:p>
        </w:tc>
        <w:tc>
          <w:tcPr>
            <w:tcW w:w="8364" w:type="dxa"/>
            <w:gridSpan w:val="2"/>
            <w:shd w:val="clear" w:color="auto" w:fill="F2F2F2" w:themeFill="background2"/>
          </w:tcPr>
          <w:p w14:paraId="40CBA04E" w14:textId="77777777" w:rsidR="00052B3F" w:rsidRPr="008F0BE0" w:rsidRDefault="00052B3F" w:rsidP="008F0BE0">
            <w:pPr>
              <w:rPr>
                <w:rFonts w:cs="Times New Roman"/>
                <w:sz w:val="18"/>
                <w:szCs w:val="18"/>
              </w:rPr>
            </w:pPr>
            <w:r w:rsidRPr="008F0BE0">
              <w:rPr>
                <w:rFonts w:cs="Times New Roman"/>
                <w:b/>
                <w:bCs/>
                <w:sz w:val="18"/>
                <w:szCs w:val="18"/>
              </w:rPr>
              <w:t xml:space="preserve">For new construction and major renovations: </w:t>
            </w:r>
          </w:p>
        </w:tc>
      </w:tr>
      <w:tr w:rsidR="00052B3F" w:rsidRPr="008F0BE0" w14:paraId="62EF3020" w14:textId="77777777" w:rsidTr="008F0BE0">
        <w:trPr>
          <w:trHeight w:val="584"/>
        </w:trPr>
        <w:tc>
          <w:tcPr>
            <w:tcW w:w="1696" w:type="dxa"/>
            <w:vMerge/>
          </w:tcPr>
          <w:p w14:paraId="2A246CEC" w14:textId="77777777" w:rsidR="00052B3F" w:rsidRPr="008F0BE0" w:rsidRDefault="00052B3F" w:rsidP="008F0BE0">
            <w:pPr>
              <w:rPr>
                <w:rFonts w:cs="Times New Roman"/>
                <w:sz w:val="18"/>
                <w:szCs w:val="18"/>
              </w:rPr>
            </w:pPr>
          </w:p>
        </w:tc>
        <w:tc>
          <w:tcPr>
            <w:tcW w:w="5103" w:type="dxa"/>
          </w:tcPr>
          <w:p w14:paraId="527359F2" w14:textId="6DDB49E4" w:rsidR="008F0BE0" w:rsidRPr="008F0BE0" w:rsidRDefault="00052B3F" w:rsidP="008F0BE0">
            <w:pPr>
              <w:rPr>
                <w:rFonts w:cs="Times New Roman"/>
                <w:sz w:val="18"/>
                <w:szCs w:val="18"/>
              </w:rPr>
            </w:pPr>
            <w:r w:rsidRPr="008F0BE0">
              <w:rPr>
                <w:rFonts w:cs="Times New Roman"/>
                <w:sz w:val="18"/>
                <w:szCs w:val="18"/>
              </w:rPr>
              <w:t>Water Balance: Retain minimum 10mm rainfall from all site surface</w:t>
            </w:r>
            <w:r w:rsidR="008F0BE0">
              <w:rPr>
                <w:rFonts w:cs="Times New Roman"/>
                <w:sz w:val="18"/>
                <w:szCs w:val="18"/>
              </w:rPr>
              <w:t>s</w:t>
            </w:r>
          </w:p>
        </w:tc>
        <w:tc>
          <w:tcPr>
            <w:tcW w:w="3261" w:type="dxa"/>
          </w:tcPr>
          <w:p w14:paraId="16695BB0" w14:textId="274861DC"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Tier 1 (5mm retention)</w:t>
            </w:r>
          </w:p>
        </w:tc>
      </w:tr>
      <w:tr w:rsidR="00052B3F" w:rsidRPr="008F0BE0" w14:paraId="4BA201C3" w14:textId="77777777" w:rsidTr="008F0BE0">
        <w:tc>
          <w:tcPr>
            <w:tcW w:w="1696" w:type="dxa"/>
            <w:vMerge/>
          </w:tcPr>
          <w:p w14:paraId="0D161684" w14:textId="77777777" w:rsidR="00052B3F" w:rsidRPr="008F0BE0" w:rsidRDefault="00052B3F" w:rsidP="008F0BE0">
            <w:pPr>
              <w:rPr>
                <w:rFonts w:cs="Times New Roman"/>
                <w:sz w:val="18"/>
                <w:szCs w:val="18"/>
              </w:rPr>
            </w:pPr>
          </w:p>
        </w:tc>
        <w:tc>
          <w:tcPr>
            <w:tcW w:w="5103" w:type="dxa"/>
          </w:tcPr>
          <w:p w14:paraId="236A8618" w14:textId="77777777" w:rsidR="00052B3F" w:rsidRPr="008F0BE0" w:rsidRDefault="00052B3F" w:rsidP="008F0BE0">
            <w:pPr>
              <w:rPr>
                <w:rFonts w:cs="Times New Roman"/>
                <w:sz w:val="18"/>
                <w:szCs w:val="18"/>
              </w:rPr>
            </w:pPr>
            <w:r w:rsidRPr="008F0BE0">
              <w:rPr>
                <w:rFonts w:cs="Times New Roman"/>
                <w:sz w:val="18"/>
                <w:szCs w:val="18"/>
              </w:rPr>
              <w:t>Water Quality: Achieve 85% removal of Total Suspended Solids (TSS) annually</w:t>
            </w:r>
          </w:p>
        </w:tc>
        <w:tc>
          <w:tcPr>
            <w:tcW w:w="3261" w:type="dxa"/>
          </w:tcPr>
          <w:p w14:paraId="48A70CC7"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TGS V4 Tier 1 (80% TSS removal)</w:t>
            </w:r>
          </w:p>
        </w:tc>
      </w:tr>
      <w:tr w:rsidR="00052B3F" w:rsidRPr="008F0BE0" w14:paraId="22BB1E2B" w14:textId="77777777" w:rsidTr="008F0BE0">
        <w:tc>
          <w:tcPr>
            <w:tcW w:w="1696" w:type="dxa"/>
            <w:vMerge/>
          </w:tcPr>
          <w:p w14:paraId="212A7D05" w14:textId="77777777" w:rsidR="00052B3F" w:rsidRPr="008F0BE0" w:rsidRDefault="00052B3F" w:rsidP="008F0BE0">
            <w:pPr>
              <w:rPr>
                <w:rFonts w:cs="Times New Roman"/>
                <w:sz w:val="18"/>
                <w:szCs w:val="18"/>
              </w:rPr>
            </w:pPr>
          </w:p>
        </w:tc>
        <w:tc>
          <w:tcPr>
            <w:tcW w:w="5103" w:type="dxa"/>
          </w:tcPr>
          <w:p w14:paraId="760AE0DC" w14:textId="77777777" w:rsidR="00052B3F" w:rsidRPr="008F0BE0" w:rsidRDefault="00052B3F" w:rsidP="008F0BE0">
            <w:pPr>
              <w:rPr>
                <w:rFonts w:cs="Times New Roman"/>
                <w:sz w:val="18"/>
                <w:szCs w:val="18"/>
              </w:rPr>
            </w:pPr>
            <w:r w:rsidRPr="008F0BE0">
              <w:rPr>
                <w:rFonts w:cs="Times New Roman"/>
                <w:sz w:val="18"/>
                <w:szCs w:val="18"/>
              </w:rPr>
              <w:t>Water Quantity: Implement peak flow control measures per local regulations</w:t>
            </w:r>
          </w:p>
        </w:tc>
        <w:tc>
          <w:tcPr>
            <w:tcW w:w="3261" w:type="dxa"/>
          </w:tcPr>
          <w:p w14:paraId="1A615308"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TGS V4 requirements</w:t>
            </w:r>
          </w:p>
        </w:tc>
      </w:tr>
      <w:tr w:rsidR="00052B3F" w:rsidRPr="008F0BE0" w14:paraId="176BFC3C" w14:textId="77777777" w:rsidTr="008F0BE0">
        <w:tc>
          <w:tcPr>
            <w:tcW w:w="1696" w:type="dxa"/>
            <w:vMerge/>
          </w:tcPr>
          <w:p w14:paraId="7F811D4D" w14:textId="77777777" w:rsidR="00052B3F" w:rsidRPr="008F0BE0" w:rsidRDefault="00052B3F" w:rsidP="008F0BE0">
            <w:pPr>
              <w:rPr>
                <w:rFonts w:cs="Times New Roman"/>
                <w:sz w:val="18"/>
                <w:szCs w:val="18"/>
              </w:rPr>
            </w:pPr>
          </w:p>
        </w:tc>
        <w:tc>
          <w:tcPr>
            <w:tcW w:w="5103" w:type="dxa"/>
          </w:tcPr>
          <w:p w14:paraId="174E1055" w14:textId="77777777" w:rsidR="00052B3F" w:rsidRPr="008F0BE0" w:rsidRDefault="00052B3F" w:rsidP="008F0BE0">
            <w:pPr>
              <w:rPr>
                <w:rFonts w:cs="Times New Roman"/>
                <w:sz w:val="18"/>
                <w:szCs w:val="18"/>
              </w:rPr>
            </w:pPr>
            <w:r w:rsidRPr="008F0BE0">
              <w:rPr>
                <w:rFonts w:cs="Times New Roman"/>
                <w:sz w:val="18"/>
                <w:szCs w:val="18"/>
              </w:rPr>
              <w:t>Green Infrastructure: Treat minimum 50% of non-roof hardscape with green solutions</w:t>
            </w:r>
          </w:p>
        </w:tc>
        <w:tc>
          <w:tcPr>
            <w:tcW w:w="3261" w:type="dxa"/>
          </w:tcPr>
          <w:p w14:paraId="28D53C03"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TGS V4 Tier 2</w:t>
            </w:r>
          </w:p>
        </w:tc>
      </w:tr>
      <w:tr w:rsidR="00052B3F" w:rsidRPr="008F0BE0" w14:paraId="7D83B82C" w14:textId="77777777" w:rsidTr="008F0BE0">
        <w:tc>
          <w:tcPr>
            <w:tcW w:w="1696" w:type="dxa"/>
            <w:vMerge/>
          </w:tcPr>
          <w:p w14:paraId="24B845AB" w14:textId="77777777" w:rsidR="00052B3F" w:rsidRPr="008F0BE0" w:rsidRDefault="00052B3F" w:rsidP="008F0BE0">
            <w:pPr>
              <w:rPr>
                <w:rFonts w:cs="Times New Roman"/>
                <w:sz w:val="18"/>
                <w:szCs w:val="18"/>
              </w:rPr>
            </w:pPr>
          </w:p>
        </w:tc>
        <w:tc>
          <w:tcPr>
            <w:tcW w:w="5103" w:type="dxa"/>
          </w:tcPr>
          <w:p w14:paraId="4C55699E" w14:textId="77777777" w:rsidR="00052B3F" w:rsidRPr="008F0BE0" w:rsidRDefault="00052B3F" w:rsidP="008F0BE0">
            <w:pPr>
              <w:rPr>
                <w:rFonts w:cs="Times New Roman"/>
                <w:sz w:val="18"/>
                <w:szCs w:val="18"/>
              </w:rPr>
            </w:pPr>
            <w:r w:rsidRPr="008F0BE0">
              <w:rPr>
                <w:rFonts w:cs="Times New Roman"/>
                <w:sz w:val="18"/>
                <w:szCs w:val="18"/>
              </w:rPr>
              <w:t>Green Roofs: Minimum 60% of available roof space as green roof, 50% biodiverse</w:t>
            </w:r>
          </w:p>
        </w:tc>
        <w:tc>
          <w:tcPr>
            <w:tcW w:w="3261" w:type="dxa"/>
          </w:tcPr>
          <w:p w14:paraId="03C1AA98" w14:textId="77777777" w:rsidR="00052B3F" w:rsidRPr="008F0BE0" w:rsidRDefault="00052B3F" w:rsidP="008F0BE0">
            <w:pPr>
              <w:rPr>
                <w:rFonts w:cs="Times New Roman"/>
                <w:sz w:val="18"/>
                <w:szCs w:val="18"/>
              </w:rPr>
            </w:pPr>
            <w:r w:rsidRPr="008F0BE0">
              <w:rPr>
                <w:rFonts w:cs="Times New Roman"/>
                <w:sz w:val="18"/>
                <w:szCs w:val="18"/>
              </w:rPr>
              <w:t xml:space="preserve">Exceeds TGS V4 Tier 2 </w:t>
            </w:r>
          </w:p>
          <w:p w14:paraId="37BA34AE" w14:textId="77777777" w:rsidR="00052B3F" w:rsidRPr="008F0BE0" w:rsidRDefault="00052B3F" w:rsidP="008F0BE0">
            <w:pPr>
              <w:rPr>
                <w:rFonts w:cs="Times New Roman"/>
                <w:sz w:val="18"/>
                <w:szCs w:val="18"/>
              </w:rPr>
            </w:pPr>
            <w:r w:rsidRPr="008F0BE0">
              <w:rPr>
                <w:rFonts w:cs="Times New Roman"/>
                <w:sz w:val="18"/>
                <w:szCs w:val="18"/>
              </w:rPr>
              <w:t>Aligns with UofT green roof initiatives</w:t>
            </w:r>
          </w:p>
        </w:tc>
      </w:tr>
      <w:tr w:rsidR="00052B3F" w:rsidRPr="008F0BE0" w14:paraId="4623BA96" w14:textId="77777777" w:rsidTr="008F0BE0">
        <w:tc>
          <w:tcPr>
            <w:tcW w:w="1696" w:type="dxa"/>
            <w:vMerge/>
          </w:tcPr>
          <w:p w14:paraId="413D5C55" w14:textId="77777777" w:rsidR="00052B3F" w:rsidRPr="008F0BE0" w:rsidRDefault="00052B3F" w:rsidP="008F0BE0">
            <w:pPr>
              <w:rPr>
                <w:rFonts w:cs="Times New Roman"/>
                <w:sz w:val="18"/>
                <w:szCs w:val="18"/>
              </w:rPr>
            </w:pPr>
          </w:p>
        </w:tc>
        <w:tc>
          <w:tcPr>
            <w:tcW w:w="5103" w:type="dxa"/>
          </w:tcPr>
          <w:p w14:paraId="6A0BF587" w14:textId="77777777" w:rsidR="00052B3F" w:rsidRPr="008F0BE0" w:rsidRDefault="00052B3F" w:rsidP="008F0BE0">
            <w:pPr>
              <w:rPr>
                <w:rFonts w:cs="Times New Roman"/>
                <w:sz w:val="18"/>
                <w:szCs w:val="18"/>
              </w:rPr>
            </w:pPr>
            <w:r w:rsidRPr="008F0BE0">
              <w:rPr>
                <w:rFonts w:cs="Times New Roman"/>
                <w:sz w:val="18"/>
                <w:szCs w:val="18"/>
              </w:rPr>
              <w:t>Rainwater Harvesting: Offset 25% of non-potable water demand</w:t>
            </w:r>
          </w:p>
        </w:tc>
        <w:tc>
          <w:tcPr>
            <w:tcW w:w="3261" w:type="dxa"/>
          </w:tcPr>
          <w:p w14:paraId="67D73546" w14:textId="77777777" w:rsidR="00052B3F" w:rsidRPr="008F0BE0" w:rsidRDefault="00052B3F" w:rsidP="008F0BE0">
            <w:pPr>
              <w:rPr>
                <w:rFonts w:cs="Times New Roman"/>
                <w:sz w:val="18"/>
                <w:szCs w:val="18"/>
              </w:rPr>
            </w:pPr>
            <w:r w:rsidRPr="008F0BE0">
              <w:rPr>
                <w:rFonts w:cs="Times New Roman"/>
                <w:sz w:val="18"/>
                <w:szCs w:val="18"/>
              </w:rPr>
              <w:t>Exceeds LEED v4.1 Rainwater Management credit requirements</w:t>
            </w:r>
          </w:p>
        </w:tc>
      </w:tr>
      <w:tr w:rsidR="00052B3F" w:rsidRPr="008F0BE0" w14:paraId="3488B12E" w14:textId="77777777" w:rsidTr="008F0BE0">
        <w:tc>
          <w:tcPr>
            <w:tcW w:w="1696" w:type="dxa"/>
            <w:vMerge/>
          </w:tcPr>
          <w:p w14:paraId="63B9E581" w14:textId="77777777" w:rsidR="00052B3F" w:rsidRPr="008F0BE0" w:rsidRDefault="00052B3F" w:rsidP="008F0BE0">
            <w:pPr>
              <w:rPr>
                <w:rFonts w:cs="Times New Roman"/>
                <w:sz w:val="18"/>
                <w:szCs w:val="18"/>
              </w:rPr>
            </w:pPr>
          </w:p>
        </w:tc>
        <w:tc>
          <w:tcPr>
            <w:tcW w:w="5103" w:type="dxa"/>
          </w:tcPr>
          <w:p w14:paraId="6DA67DF9" w14:textId="77777777" w:rsidR="00052B3F" w:rsidRPr="008F0BE0" w:rsidRDefault="00052B3F" w:rsidP="008F0BE0">
            <w:pPr>
              <w:rPr>
                <w:rFonts w:cs="Times New Roman"/>
                <w:sz w:val="18"/>
                <w:szCs w:val="18"/>
              </w:rPr>
            </w:pPr>
            <w:r w:rsidRPr="008F0BE0">
              <w:rPr>
                <w:rFonts w:cs="Times New Roman"/>
                <w:sz w:val="18"/>
                <w:szCs w:val="18"/>
              </w:rPr>
              <w:t>Landscape Integration: Comprehensive plan incorporating stormwater features</w:t>
            </w:r>
          </w:p>
        </w:tc>
        <w:tc>
          <w:tcPr>
            <w:tcW w:w="3261" w:type="dxa"/>
          </w:tcPr>
          <w:p w14:paraId="273B99D1" w14:textId="54E3B217" w:rsidR="00052B3F" w:rsidRPr="008F0BE0" w:rsidRDefault="00052B3F" w:rsidP="008F0BE0">
            <w:pPr>
              <w:rPr>
                <w:rFonts w:cs="Times New Roman"/>
                <w:sz w:val="18"/>
                <w:szCs w:val="18"/>
              </w:rPr>
            </w:pPr>
            <w:r w:rsidRPr="008F0BE0">
              <w:rPr>
                <w:rFonts w:cs="Times New Roman"/>
                <w:sz w:val="18"/>
                <w:szCs w:val="18"/>
              </w:rPr>
              <w:t>Aligns with UC Berkeley</w:t>
            </w:r>
            <w:r w:rsidR="00027B17">
              <w:rPr>
                <w:rFonts w:cs="Times New Roman"/>
                <w:sz w:val="18"/>
                <w:szCs w:val="18"/>
              </w:rPr>
              <w:t>’</w:t>
            </w:r>
            <w:r w:rsidRPr="008F0BE0">
              <w:rPr>
                <w:rFonts w:cs="Times New Roman"/>
                <w:sz w:val="18"/>
                <w:szCs w:val="18"/>
              </w:rPr>
              <w:t>s integrated landscape approach</w:t>
            </w:r>
          </w:p>
        </w:tc>
      </w:tr>
      <w:tr w:rsidR="00052B3F" w:rsidRPr="008F0BE0" w14:paraId="015C6DD6" w14:textId="77777777" w:rsidTr="008F0BE0">
        <w:tc>
          <w:tcPr>
            <w:tcW w:w="1696" w:type="dxa"/>
            <w:vMerge/>
          </w:tcPr>
          <w:p w14:paraId="7B020BC5" w14:textId="77777777" w:rsidR="00052B3F" w:rsidRPr="008F0BE0" w:rsidRDefault="00052B3F" w:rsidP="008F0BE0">
            <w:pPr>
              <w:rPr>
                <w:rFonts w:cs="Times New Roman"/>
                <w:sz w:val="18"/>
                <w:szCs w:val="18"/>
              </w:rPr>
            </w:pPr>
          </w:p>
        </w:tc>
        <w:tc>
          <w:tcPr>
            <w:tcW w:w="5103" w:type="dxa"/>
          </w:tcPr>
          <w:p w14:paraId="188A9182" w14:textId="77777777" w:rsidR="00052B3F" w:rsidRPr="008F0BE0" w:rsidRDefault="00052B3F" w:rsidP="008F0BE0">
            <w:pPr>
              <w:rPr>
                <w:rFonts w:cs="Times New Roman"/>
                <w:sz w:val="18"/>
                <w:szCs w:val="18"/>
              </w:rPr>
            </w:pPr>
            <w:r w:rsidRPr="008F0BE0">
              <w:rPr>
                <w:rFonts w:cs="Times New Roman"/>
                <w:sz w:val="18"/>
                <w:szCs w:val="18"/>
              </w:rPr>
              <w:t>Monitoring: Real-time systems for performance tracking and research</w:t>
            </w:r>
          </w:p>
        </w:tc>
        <w:tc>
          <w:tcPr>
            <w:tcW w:w="3261" w:type="dxa"/>
          </w:tcPr>
          <w:p w14:paraId="16FCF555" w14:textId="6BEE5D05" w:rsidR="00052B3F" w:rsidRPr="008F0BE0" w:rsidRDefault="00052B3F" w:rsidP="008F0BE0">
            <w:pPr>
              <w:rPr>
                <w:rFonts w:cs="Times New Roman"/>
                <w:sz w:val="18"/>
                <w:szCs w:val="18"/>
              </w:rPr>
            </w:pPr>
            <w:r w:rsidRPr="008F0BE0">
              <w:rPr>
                <w:rFonts w:cs="Times New Roman"/>
                <w:sz w:val="18"/>
                <w:szCs w:val="18"/>
              </w:rPr>
              <w:t>Aligns with UW</w:t>
            </w:r>
            <w:r w:rsidR="00027B17">
              <w:rPr>
                <w:rFonts w:cs="Times New Roman"/>
                <w:sz w:val="18"/>
                <w:szCs w:val="18"/>
              </w:rPr>
              <w:t>’</w:t>
            </w:r>
            <w:r w:rsidRPr="008F0BE0">
              <w:rPr>
                <w:rFonts w:cs="Times New Roman"/>
                <w:sz w:val="18"/>
                <w:szCs w:val="18"/>
              </w:rPr>
              <w:t>s comprehensive stormwater planning and monitoring</w:t>
            </w:r>
          </w:p>
        </w:tc>
      </w:tr>
      <w:tr w:rsidR="00052B3F" w:rsidRPr="008F0BE0" w14:paraId="2C88DC50" w14:textId="77777777" w:rsidTr="008F0BE0">
        <w:tc>
          <w:tcPr>
            <w:tcW w:w="1696" w:type="dxa"/>
            <w:vMerge/>
          </w:tcPr>
          <w:p w14:paraId="51EE67CF" w14:textId="77777777" w:rsidR="00052B3F" w:rsidRPr="008F0BE0" w:rsidRDefault="00052B3F" w:rsidP="008F0BE0">
            <w:pPr>
              <w:rPr>
                <w:rFonts w:cs="Times New Roman"/>
                <w:sz w:val="18"/>
                <w:szCs w:val="18"/>
              </w:rPr>
            </w:pPr>
          </w:p>
        </w:tc>
        <w:tc>
          <w:tcPr>
            <w:tcW w:w="8364" w:type="dxa"/>
            <w:gridSpan w:val="2"/>
            <w:shd w:val="clear" w:color="auto" w:fill="F2F2F2" w:themeFill="background2"/>
          </w:tcPr>
          <w:p w14:paraId="42114B77" w14:textId="77777777" w:rsidR="00052B3F" w:rsidRPr="008F0BE0" w:rsidRDefault="00052B3F" w:rsidP="008F0BE0">
            <w:pPr>
              <w:rPr>
                <w:rFonts w:cs="Times New Roman"/>
                <w:sz w:val="18"/>
                <w:szCs w:val="18"/>
              </w:rPr>
            </w:pPr>
            <w:r w:rsidRPr="008F0BE0">
              <w:rPr>
                <w:rFonts w:cs="Times New Roman"/>
                <w:b/>
                <w:bCs/>
                <w:sz w:val="18"/>
                <w:szCs w:val="18"/>
              </w:rPr>
              <w:t>For existing building retrofits:</w:t>
            </w:r>
          </w:p>
        </w:tc>
      </w:tr>
      <w:tr w:rsidR="00052B3F" w:rsidRPr="008F0BE0" w14:paraId="6C4086F0" w14:textId="77777777" w:rsidTr="008F0BE0">
        <w:tc>
          <w:tcPr>
            <w:tcW w:w="1696" w:type="dxa"/>
            <w:vMerge/>
          </w:tcPr>
          <w:p w14:paraId="1978B8DD" w14:textId="77777777" w:rsidR="00052B3F" w:rsidRPr="008F0BE0" w:rsidRDefault="00052B3F" w:rsidP="008F0BE0">
            <w:pPr>
              <w:rPr>
                <w:rFonts w:cs="Times New Roman"/>
                <w:sz w:val="18"/>
                <w:szCs w:val="18"/>
              </w:rPr>
            </w:pPr>
          </w:p>
        </w:tc>
        <w:tc>
          <w:tcPr>
            <w:tcW w:w="5103" w:type="dxa"/>
          </w:tcPr>
          <w:p w14:paraId="4758BAEB" w14:textId="77777777" w:rsidR="00052B3F" w:rsidRPr="008F0BE0" w:rsidRDefault="00052B3F" w:rsidP="008F0BE0">
            <w:pPr>
              <w:rPr>
                <w:rFonts w:cs="Times New Roman"/>
                <w:sz w:val="18"/>
                <w:szCs w:val="18"/>
              </w:rPr>
            </w:pPr>
            <w:r w:rsidRPr="008F0BE0">
              <w:rPr>
                <w:rFonts w:cs="Times New Roman"/>
                <w:sz w:val="18"/>
                <w:szCs w:val="18"/>
              </w:rPr>
              <w:t>Conduct stormwater audit and develop improvement plan</w:t>
            </w:r>
          </w:p>
        </w:tc>
        <w:tc>
          <w:tcPr>
            <w:tcW w:w="3261" w:type="dxa"/>
          </w:tcPr>
          <w:p w14:paraId="3207B1E6" w14:textId="77777777" w:rsidR="00052B3F" w:rsidRPr="008F0BE0" w:rsidRDefault="00052B3F" w:rsidP="008F0BE0">
            <w:pPr>
              <w:rPr>
                <w:rFonts w:cs="Times New Roman"/>
                <w:sz w:val="18"/>
                <w:szCs w:val="18"/>
              </w:rPr>
            </w:pPr>
            <w:r w:rsidRPr="008F0BE0">
              <w:rPr>
                <w:rFonts w:cs="Times New Roman"/>
                <w:sz w:val="18"/>
                <w:szCs w:val="18"/>
              </w:rPr>
              <w:t>Exceeds typical retrofit practices</w:t>
            </w:r>
          </w:p>
        </w:tc>
      </w:tr>
      <w:tr w:rsidR="00052B3F" w:rsidRPr="008F0BE0" w14:paraId="4B8F708D" w14:textId="77777777" w:rsidTr="008F0BE0">
        <w:tc>
          <w:tcPr>
            <w:tcW w:w="1696" w:type="dxa"/>
            <w:vMerge/>
          </w:tcPr>
          <w:p w14:paraId="0285A2D9" w14:textId="77777777" w:rsidR="00052B3F" w:rsidRPr="008F0BE0" w:rsidRDefault="00052B3F" w:rsidP="008F0BE0">
            <w:pPr>
              <w:rPr>
                <w:rFonts w:cs="Times New Roman"/>
                <w:sz w:val="18"/>
                <w:szCs w:val="18"/>
              </w:rPr>
            </w:pPr>
          </w:p>
        </w:tc>
        <w:tc>
          <w:tcPr>
            <w:tcW w:w="5103" w:type="dxa"/>
          </w:tcPr>
          <w:p w14:paraId="5BC50378" w14:textId="77777777" w:rsidR="00052B3F" w:rsidRPr="008F0BE0" w:rsidRDefault="00052B3F" w:rsidP="008F0BE0">
            <w:pPr>
              <w:tabs>
                <w:tab w:val="left" w:pos="1295"/>
              </w:tabs>
              <w:rPr>
                <w:rFonts w:cs="Times New Roman"/>
                <w:sz w:val="18"/>
                <w:szCs w:val="18"/>
              </w:rPr>
            </w:pPr>
            <w:r w:rsidRPr="008F0BE0">
              <w:rPr>
                <w:rFonts w:cs="Times New Roman"/>
                <w:sz w:val="18"/>
                <w:szCs w:val="18"/>
              </w:rPr>
              <w:t>Implement at least two green infrastructure solutions</w:t>
            </w:r>
          </w:p>
        </w:tc>
        <w:tc>
          <w:tcPr>
            <w:tcW w:w="3261" w:type="dxa"/>
          </w:tcPr>
          <w:p w14:paraId="30230BFB" w14:textId="77777777" w:rsidR="00052B3F" w:rsidRPr="008F0BE0" w:rsidRDefault="00052B3F" w:rsidP="008F0BE0">
            <w:pPr>
              <w:rPr>
                <w:rFonts w:cs="Times New Roman"/>
                <w:sz w:val="18"/>
                <w:szCs w:val="18"/>
              </w:rPr>
            </w:pPr>
            <w:r w:rsidRPr="008F0BE0">
              <w:rPr>
                <w:rFonts w:cs="Times New Roman"/>
                <w:sz w:val="18"/>
                <w:szCs w:val="18"/>
              </w:rPr>
              <w:t>Aligns with TGS V4 Tier 2 retrofit recommendations</w:t>
            </w:r>
          </w:p>
        </w:tc>
      </w:tr>
      <w:tr w:rsidR="00052B3F" w:rsidRPr="008F0BE0" w14:paraId="78D2A9A8" w14:textId="77777777" w:rsidTr="008F0BE0">
        <w:tc>
          <w:tcPr>
            <w:tcW w:w="1696" w:type="dxa"/>
            <w:vMerge/>
          </w:tcPr>
          <w:p w14:paraId="58DDBF4B" w14:textId="77777777" w:rsidR="00052B3F" w:rsidRPr="008F0BE0" w:rsidRDefault="00052B3F" w:rsidP="008F0BE0">
            <w:pPr>
              <w:rPr>
                <w:rFonts w:cs="Times New Roman"/>
                <w:sz w:val="18"/>
                <w:szCs w:val="18"/>
              </w:rPr>
            </w:pPr>
          </w:p>
        </w:tc>
        <w:tc>
          <w:tcPr>
            <w:tcW w:w="5103" w:type="dxa"/>
          </w:tcPr>
          <w:p w14:paraId="4E007391" w14:textId="77777777" w:rsidR="00052B3F" w:rsidRPr="008F0BE0" w:rsidRDefault="00052B3F" w:rsidP="008F0BE0">
            <w:pPr>
              <w:rPr>
                <w:rFonts w:cs="Times New Roman"/>
                <w:sz w:val="18"/>
                <w:szCs w:val="18"/>
              </w:rPr>
            </w:pPr>
            <w:r w:rsidRPr="008F0BE0">
              <w:rPr>
                <w:rFonts w:cs="Times New Roman"/>
                <w:sz w:val="18"/>
                <w:szCs w:val="18"/>
              </w:rPr>
              <w:t>Retrofit roofs with green technology or rainwater harvesting where feasible</w:t>
            </w:r>
          </w:p>
        </w:tc>
        <w:tc>
          <w:tcPr>
            <w:tcW w:w="3261" w:type="dxa"/>
          </w:tcPr>
          <w:p w14:paraId="025E5AEB" w14:textId="157ED504" w:rsidR="00052B3F" w:rsidRPr="008F0BE0" w:rsidRDefault="00052B3F" w:rsidP="008F0BE0">
            <w:pPr>
              <w:rPr>
                <w:rFonts w:cs="Times New Roman"/>
                <w:sz w:val="18"/>
                <w:szCs w:val="18"/>
              </w:rPr>
            </w:pPr>
            <w:r w:rsidRPr="008F0BE0">
              <w:rPr>
                <w:rFonts w:cs="Times New Roman"/>
                <w:sz w:val="18"/>
                <w:szCs w:val="18"/>
              </w:rPr>
              <w:t>Aligns with UofT</w:t>
            </w:r>
            <w:r w:rsidR="00027B17">
              <w:rPr>
                <w:rFonts w:cs="Times New Roman"/>
                <w:sz w:val="18"/>
                <w:szCs w:val="18"/>
              </w:rPr>
              <w:t>’</w:t>
            </w:r>
            <w:r w:rsidRPr="008F0BE0">
              <w:rPr>
                <w:rFonts w:cs="Times New Roman"/>
                <w:sz w:val="18"/>
                <w:szCs w:val="18"/>
              </w:rPr>
              <w:t>s retrofit strategies for existing buildings</w:t>
            </w:r>
          </w:p>
        </w:tc>
      </w:tr>
      <w:tr w:rsidR="00052B3F" w:rsidRPr="008F0BE0" w14:paraId="0CE28365" w14:textId="77777777" w:rsidTr="008F0BE0">
        <w:tc>
          <w:tcPr>
            <w:tcW w:w="1696" w:type="dxa"/>
            <w:vMerge w:val="restart"/>
          </w:tcPr>
          <w:p w14:paraId="44C38C64" w14:textId="77777777" w:rsidR="00052B3F" w:rsidRPr="008F0BE0" w:rsidRDefault="00052B3F" w:rsidP="008F0BE0">
            <w:pPr>
              <w:rPr>
                <w:rFonts w:cs="Times New Roman"/>
                <w:sz w:val="18"/>
                <w:szCs w:val="18"/>
              </w:rPr>
            </w:pPr>
            <w:r w:rsidRPr="008F0BE0">
              <w:rPr>
                <w:rFonts w:cs="Times New Roman"/>
                <w:sz w:val="18"/>
                <w:szCs w:val="18"/>
              </w:rPr>
              <w:t>Smart Building Technologies</w:t>
            </w:r>
          </w:p>
        </w:tc>
        <w:tc>
          <w:tcPr>
            <w:tcW w:w="5103" w:type="dxa"/>
          </w:tcPr>
          <w:p w14:paraId="1CEDBA90" w14:textId="77777777" w:rsidR="00052B3F" w:rsidRPr="008F0BE0" w:rsidRDefault="00052B3F" w:rsidP="008F0BE0">
            <w:pPr>
              <w:rPr>
                <w:rFonts w:cs="Times New Roman"/>
                <w:sz w:val="18"/>
                <w:szCs w:val="18"/>
              </w:rPr>
            </w:pPr>
            <w:r w:rsidRPr="008F0BE0">
              <w:rPr>
                <w:rFonts w:cs="Times New Roman"/>
                <w:sz w:val="18"/>
                <w:szCs w:val="18"/>
              </w:rPr>
              <w:t>Implement IoT-enabled systems for real-time monitoring of energy, water, occupancy, and indoor environmental quality</w:t>
            </w:r>
          </w:p>
        </w:tc>
        <w:tc>
          <w:tcPr>
            <w:tcW w:w="3261" w:type="dxa"/>
          </w:tcPr>
          <w:p w14:paraId="671ADECE" w14:textId="77777777" w:rsidR="00052B3F" w:rsidRPr="008F0BE0" w:rsidRDefault="00052B3F" w:rsidP="008F0BE0">
            <w:pPr>
              <w:rPr>
                <w:rFonts w:cs="Times New Roman"/>
                <w:sz w:val="18"/>
                <w:szCs w:val="18"/>
              </w:rPr>
            </w:pPr>
            <w:r w:rsidRPr="008F0BE0">
              <w:rPr>
                <w:rFonts w:cs="Times New Roman"/>
                <w:sz w:val="18"/>
                <w:szCs w:val="18"/>
              </w:rPr>
              <w:t>Aligns with UW smart building controls approach</w:t>
            </w:r>
          </w:p>
        </w:tc>
      </w:tr>
      <w:tr w:rsidR="00052B3F" w:rsidRPr="008F0BE0" w14:paraId="4D376FBE" w14:textId="77777777" w:rsidTr="008F0BE0">
        <w:tc>
          <w:tcPr>
            <w:tcW w:w="1696" w:type="dxa"/>
            <w:vMerge/>
          </w:tcPr>
          <w:p w14:paraId="68D76526" w14:textId="77777777" w:rsidR="00052B3F" w:rsidRPr="008F0BE0" w:rsidRDefault="00052B3F" w:rsidP="008F0BE0">
            <w:pPr>
              <w:rPr>
                <w:rFonts w:cs="Times New Roman"/>
                <w:sz w:val="18"/>
                <w:szCs w:val="18"/>
              </w:rPr>
            </w:pPr>
          </w:p>
        </w:tc>
        <w:tc>
          <w:tcPr>
            <w:tcW w:w="5103" w:type="dxa"/>
          </w:tcPr>
          <w:p w14:paraId="2A504A22" w14:textId="77777777" w:rsidR="00052B3F" w:rsidRPr="008F0BE0" w:rsidRDefault="00052B3F" w:rsidP="008F0BE0">
            <w:pPr>
              <w:rPr>
                <w:rFonts w:cs="Times New Roman"/>
                <w:sz w:val="18"/>
                <w:szCs w:val="18"/>
              </w:rPr>
            </w:pPr>
            <w:r w:rsidRPr="008F0BE0">
              <w:rPr>
                <w:rFonts w:cs="Times New Roman"/>
                <w:sz w:val="18"/>
                <w:szCs w:val="18"/>
              </w:rPr>
              <w:t>Utilize data analytics and machine learning to continuously optimize building performance</w:t>
            </w:r>
          </w:p>
        </w:tc>
        <w:tc>
          <w:tcPr>
            <w:tcW w:w="3261" w:type="dxa"/>
          </w:tcPr>
          <w:p w14:paraId="6538C055" w14:textId="77777777" w:rsidR="00052B3F" w:rsidRPr="008F0BE0" w:rsidRDefault="00052B3F" w:rsidP="008F0BE0">
            <w:pPr>
              <w:rPr>
                <w:rFonts w:cs="Times New Roman"/>
                <w:color w:val="FF0000"/>
                <w:sz w:val="18"/>
                <w:szCs w:val="18"/>
              </w:rPr>
            </w:pPr>
            <w:r w:rsidRPr="008F0BE0">
              <w:rPr>
                <w:rFonts w:cs="Times New Roman"/>
                <w:color w:val="000000" w:themeColor="text1"/>
                <w:sz w:val="18"/>
                <w:szCs w:val="18"/>
              </w:rPr>
              <w:t>Exceeds typical building management approaches</w:t>
            </w:r>
          </w:p>
        </w:tc>
      </w:tr>
      <w:tr w:rsidR="00052B3F" w:rsidRPr="008F0BE0" w14:paraId="073F2051" w14:textId="77777777" w:rsidTr="008F0BE0">
        <w:tc>
          <w:tcPr>
            <w:tcW w:w="1696" w:type="dxa"/>
            <w:vMerge/>
          </w:tcPr>
          <w:p w14:paraId="62C6B752" w14:textId="77777777" w:rsidR="00052B3F" w:rsidRPr="008F0BE0" w:rsidRDefault="00052B3F" w:rsidP="008F0BE0">
            <w:pPr>
              <w:rPr>
                <w:rFonts w:cs="Times New Roman"/>
                <w:sz w:val="18"/>
                <w:szCs w:val="18"/>
              </w:rPr>
            </w:pPr>
          </w:p>
        </w:tc>
        <w:tc>
          <w:tcPr>
            <w:tcW w:w="5103" w:type="dxa"/>
          </w:tcPr>
          <w:p w14:paraId="7C73A2D2" w14:textId="77777777" w:rsidR="00052B3F" w:rsidRPr="008F0BE0" w:rsidRDefault="00052B3F" w:rsidP="008F0BE0">
            <w:pPr>
              <w:rPr>
                <w:rFonts w:cs="Times New Roman"/>
                <w:sz w:val="18"/>
                <w:szCs w:val="18"/>
              </w:rPr>
            </w:pPr>
            <w:r w:rsidRPr="008F0BE0">
              <w:rPr>
                <w:rFonts w:cs="Times New Roman"/>
                <w:sz w:val="18"/>
                <w:szCs w:val="18"/>
              </w:rPr>
              <w:t>Provide open data platforms to support academic research and student projects</w:t>
            </w:r>
          </w:p>
        </w:tc>
        <w:tc>
          <w:tcPr>
            <w:tcW w:w="3261" w:type="dxa"/>
          </w:tcPr>
          <w:p w14:paraId="7B3A50EA" w14:textId="154AC27C" w:rsidR="00052B3F" w:rsidRPr="008F0BE0" w:rsidRDefault="00052B3F" w:rsidP="008F0BE0">
            <w:pPr>
              <w:rPr>
                <w:rFonts w:cs="Times New Roman"/>
                <w:sz w:val="18"/>
                <w:szCs w:val="18"/>
              </w:rPr>
            </w:pPr>
            <w:r w:rsidRPr="008F0BE0">
              <w:rPr>
                <w:rFonts w:cs="Times New Roman"/>
                <w:sz w:val="18"/>
                <w:szCs w:val="18"/>
              </w:rPr>
              <w:t xml:space="preserve">Aligns with </w:t>
            </w:r>
            <w:r w:rsidR="00A8627F">
              <w:rPr>
                <w:rFonts w:cs="Times New Roman"/>
                <w:sz w:val="18"/>
                <w:szCs w:val="18"/>
              </w:rPr>
              <w:t>“</w:t>
            </w:r>
            <w:r w:rsidRPr="008F0BE0">
              <w:rPr>
                <w:rFonts w:cs="Times New Roman"/>
                <w:sz w:val="18"/>
                <w:szCs w:val="18"/>
              </w:rPr>
              <w:t>Campus as a Living Lab</w:t>
            </w:r>
            <w:r w:rsidR="00A8627F">
              <w:rPr>
                <w:rFonts w:cs="Times New Roman"/>
                <w:sz w:val="18"/>
                <w:szCs w:val="18"/>
              </w:rPr>
              <w:t>”</w:t>
            </w:r>
            <w:r w:rsidRPr="008F0BE0">
              <w:rPr>
                <w:rFonts w:cs="Times New Roman"/>
                <w:sz w:val="18"/>
                <w:szCs w:val="18"/>
              </w:rPr>
              <w:t xml:space="preserve"> concept</w:t>
            </w:r>
          </w:p>
        </w:tc>
      </w:tr>
      <w:tr w:rsidR="00052B3F" w:rsidRPr="008F0BE0" w14:paraId="76BD5D8E" w14:textId="77777777" w:rsidTr="008F0BE0">
        <w:tc>
          <w:tcPr>
            <w:tcW w:w="1696" w:type="dxa"/>
            <w:vMerge/>
          </w:tcPr>
          <w:p w14:paraId="1BC767EB" w14:textId="77777777" w:rsidR="00052B3F" w:rsidRPr="008F0BE0" w:rsidRDefault="00052B3F" w:rsidP="008F0BE0">
            <w:pPr>
              <w:rPr>
                <w:rFonts w:cs="Times New Roman"/>
                <w:sz w:val="18"/>
                <w:szCs w:val="18"/>
              </w:rPr>
            </w:pPr>
          </w:p>
        </w:tc>
        <w:tc>
          <w:tcPr>
            <w:tcW w:w="5103" w:type="dxa"/>
          </w:tcPr>
          <w:p w14:paraId="4BEA6774" w14:textId="77777777" w:rsidR="00052B3F" w:rsidRPr="008F0BE0" w:rsidRDefault="00052B3F" w:rsidP="008F0BE0">
            <w:pPr>
              <w:rPr>
                <w:rFonts w:cs="Times New Roman"/>
                <w:sz w:val="18"/>
                <w:szCs w:val="18"/>
              </w:rPr>
            </w:pPr>
            <w:r w:rsidRPr="008F0BE0">
              <w:rPr>
                <w:rFonts w:cs="Times New Roman"/>
                <w:sz w:val="18"/>
                <w:szCs w:val="18"/>
              </w:rPr>
              <w:t>Implement smart grid-ready systems to enable demand response and grid integration</w:t>
            </w:r>
          </w:p>
        </w:tc>
        <w:tc>
          <w:tcPr>
            <w:tcW w:w="3261" w:type="dxa"/>
          </w:tcPr>
          <w:p w14:paraId="7A8FB91C" w14:textId="77777777" w:rsidR="00052B3F" w:rsidRPr="008F0BE0" w:rsidRDefault="00052B3F" w:rsidP="008F0BE0">
            <w:pPr>
              <w:rPr>
                <w:rFonts w:cs="Times New Roman"/>
                <w:sz w:val="18"/>
                <w:szCs w:val="18"/>
              </w:rPr>
            </w:pPr>
            <w:r w:rsidRPr="008F0BE0">
              <w:rPr>
                <w:rFonts w:cs="Times New Roman"/>
                <w:sz w:val="18"/>
                <w:szCs w:val="18"/>
              </w:rPr>
              <w:t>Aligns with emerging grid-interactive building standards</w:t>
            </w:r>
          </w:p>
        </w:tc>
      </w:tr>
      <w:tr w:rsidR="00052B3F" w:rsidRPr="008F0BE0" w14:paraId="6B8588C6" w14:textId="77777777" w:rsidTr="008F0BE0">
        <w:tc>
          <w:tcPr>
            <w:tcW w:w="1696" w:type="dxa"/>
            <w:vMerge/>
          </w:tcPr>
          <w:p w14:paraId="59BB107D" w14:textId="77777777" w:rsidR="00052B3F" w:rsidRPr="008F0BE0" w:rsidRDefault="00052B3F" w:rsidP="008F0BE0">
            <w:pPr>
              <w:rPr>
                <w:rFonts w:cs="Times New Roman"/>
                <w:sz w:val="18"/>
                <w:szCs w:val="18"/>
              </w:rPr>
            </w:pPr>
          </w:p>
        </w:tc>
        <w:tc>
          <w:tcPr>
            <w:tcW w:w="5103" w:type="dxa"/>
          </w:tcPr>
          <w:p w14:paraId="787467A5" w14:textId="77777777" w:rsidR="00052B3F" w:rsidRPr="008F0BE0" w:rsidRDefault="00052B3F" w:rsidP="008F0BE0">
            <w:pPr>
              <w:rPr>
                <w:rFonts w:cs="Times New Roman"/>
                <w:sz w:val="18"/>
                <w:szCs w:val="18"/>
              </w:rPr>
            </w:pPr>
            <w:r w:rsidRPr="008F0BE0">
              <w:rPr>
                <w:rFonts w:cs="Times New Roman"/>
                <w:sz w:val="18"/>
                <w:szCs w:val="18"/>
              </w:rPr>
              <w:t>For retrofits, prioritize the installation of smart meters and sensors to enable data-driven optimization</w:t>
            </w:r>
          </w:p>
        </w:tc>
        <w:tc>
          <w:tcPr>
            <w:tcW w:w="3261" w:type="dxa"/>
          </w:tcPr>
          <w:p w14:paraId="24B915C9" w14:textId="77777777" w:rsidR="00052B3F" w:rsidRPr="008F0BE0" w:rsidRDefault="00052B3F" w:rsidP="008F0BE0">
            <w:pPr>
              <w:rPr>
                <w:rFonts w:cs="Times New Roman"/>
                <w:sz w:val="18"/>
                <w:szCs w:val="18"/>
              </w:rPr>
            </w:pPr>
            <w:r w:rsidRPr="008F0BE0">
              <w:rPr>
                <w:rFonts w:cs="Times New Roman"/>
                <w:sz w:val="18"/>
                <w:szCs w:val="18"/>
              </w:rPr>
              <w:t>Exceeds typical retrofit standards</w:t>
            </w:r>
          </w:p>
        </w:tc>
      </w:tr>
      <w:tr w:rsidR="00052B3F" w:rsidRPr="008F0BE0" w14:paraId="681E52D3" w14:textId="77777777" w:rsidTr="008F0BE0">
        <w:tc>
          <w:tcPr>
            <w:tcW w:w="1696" w:type="dxa"/>
            <w:vMerge w:val="restart"/>
          </w:tcPr>
          <w:p w14:paraId="7CDCFC14" w14:textId="77777777" w:rsidR="00052B3F" w:rsidRPr="008F0BE0" w:rsidRDefault="00052B3F" w:rsidP="008F0BE0">
            <w:pPr>
              <w:rPr>
                <w:rFonts w:cs="Times New Roman"/>
                <w:sz w:val="18"/>
                <w:szCs w:val="18"/>
              </w:rPr>
            </w:pPr>
            <w:r w:rsidRPr="008F0BE0">
              <w:rPr>
                <w:rFonts w:cs="Times New Roman"/>
                <w:sz w:val="18"/>
                <w:szCs w:val="18"/>
              </w:rPr>
              <w:t>Commissioning and Verification</w:t>
            </w:r>
          </w:p>
        </w:tc>
        <w:tc>
          <w:tcPr>
            <w:tcW w:w="5103" w:type="dxa"/>
          </w:tcPr>
          <w:p w14:paraId="44BF77B0" w14:textId="77777777" w:rsidR="00052B3F" w:rsidRPr="008F0BE0" w:rsidRDefault="00052B3F" w:rsidP="008F0BE0">
            <w:pPr>
              <w:rPr>
                <w:rFonts w:cs="Times New Roman"/>
                <w:sz w:val="18"/>
                <w:szCs w:val="18"/>
              </w:rPr>
            </w:pPr>
            <w:r w:rsidRPr="008F0BE0">
              <w:rPr>
                <w:rFonts w:cs="Times New Roman"/>
                <w:sz w:val="18"/>
                <w:szCs w:val="18"/>
              </w:rPr>
              <w:t>Enhanced commissioning from pre-design phase</w:t>
            </w:r>
          </w:p>
        </w:tc>
        <w:tc>
          <w:tcPr>
            <w:tcW w:w="3261" w:type="dxa"/>
          </w:tcPr>
          <w:p w14:paraId="005F6E7D" w14:textId="77777777" w:rsidR="00052B3F" w:rsidRPr="008F0BE0" w:rsidRDefault="00052B3F" w:rsidP="008F0BE0">
            <w:pPr>
              <w:rPr>
                <w:rFonts w:cs="Times New Roman"/>
                <w:sz w:val="18"/>
                <w:szCs w:val="18"/>
              </w:rPr>
            </w:pPr>
            <w:r w:rsidRPr="008F0BE0">
              <w:rPr>
                <w:rFonts w:cs="Times New Roman"/>
                <w:sz w:val="18"/>
                <w:szCs w:val="18"/>
              </w:rPr>
              <w:t>Exceeds LEED v4.1 Enhanced Commissioning credit</w:t>
            </w:r>
          </w:p>
        </w:tc>
      </w:tr>
      <w:tr w:rsidR="00052B3F" w:rsidRPr="008F0BE0" w14:paraId="2900AC1A" w14:textId="77777777" w:rsidTr="008F0BE0">
        <w:tc>
          <w:tcPr>
            <w:tcW w:w="1696" w:type="dxa"/>
            <w:vMerge/>
          </w:tcPr>
          <w:p w14:paraId="6E5C694E" w14:textId="77777777" w:rsidR="00052B3F" w:rsidRPr="008F0BE0" w:rsidRDefault="00052B3F" w:rsidP="008F0BE0">
            <w:pPr>
              <w:rPr>
                <w:rFonts w:cs="Times New Roman"/>
                <w:sz w:val="18"/>
                <w:szCs w:val="18"/>
              </w:rPr>
            </w:pPr>
          </w:p>
        </w:tc>
        <w:tc>
          <w:tcPr>
            <w:tcW w:w="5103" w:type="dxa"/>
          </w:tcPr>
          <w:p w14:paraId="6A40B8D7" w14:textId="77777777" w:rsidR="00052B3F" w:rsidRPr="008F0BE0" w:rsidRDefault="00052B3F" w:rsidP="008F0BE0">
            <w:pPr>
              <w:rPr>
                <w:rFonts w:cs="Times New Roman"/>
                <w:sz w:val="18"/>
                <w:szCs w:val="18"/>
              </w:rPr>
            </w:pPr>
            <w:r w:rsidRPr="008F0BE0">
              <w:rPr>
                <w:rFonts w:cs="Times New Roman"/>
                <w:sz w:val="18"/>
                <w:szCs w:val="18"/>
              </w:rPr>
              <w:t>Envelope commissioning with blower door testing and thermal imaging</w:t>
            </w:r>
          </w:p>
        </w:tc>
        <w:tc>
          <w:tcPr>
            <w:tcW w:w="3261" w:type="dxa"/>
          </w:tcPr>
          <w:p w14:paraId="4FFFF256" w14:textId="77777777" w:rsidR="00052B3F" w:rsidRPr="008F0BE0" w:rsidRDefault="00052B3F" w:rsidP="008F0BE0">
            <w:pPr>
              <w:rPr>
                <w:rFonts w:cs="Times New Roman"/>
                <w:sz w:val="18"/>
                <w:szCs w:val="18"/>
              </w:rPr>
            </w:pPr>
            <w:r w:rsidRPr="008F0BE0">
              <w:rPr>
                <w:rFonts w:cs="Times New Roman"/>
                <w:sz w:val="18"/>
                <w:szCs w:val="18"/>
              </w:rPr>
              <w:t>Exceeds typical commissioning practices</w:t>
            </w:r>
          </w:p>
        </w:tc>
      </w:tr>
      <w:tr w:rsidR="00052B3F" w:rsidRPr="008F0BE0" w14:paraId="7E4E87A3" w14:textId="77777777" w:rsidTr="008F0BE0">
        <w:tc>
          <w:tcPr>
            <w:tcW w:w="1696" w:type="dxa"/>
            <w:vMerge/>
          </w:tcPr>
          <w:p w14:paraId="19D739A3" w14:textId="77777777" w:rsidR="00052B3F" w:rsidRPr="008F0BE0" w:rsidRDefault="00052B3F" w:rsidP="008F0BE0">
            <w:pPr>
              <w:rPr>
                <w:rFonts w:cs="Times New Roman"/>
                <w:sz w:val="18"/>
                <w:szCs w:val="18"/>
              </w:rPr>
            </w:pPr>
          </w:p>
        </w:tc>
        <w:tc>
          <w:tcPr>
            <w:tcW w:w="5103" w:type="dxa"/>
          </w:tcPr>
          <w:p w14:paraId="70CAF409" w14:textId="77777777" w:rsidR="00052B3F" w:rsidRPr="008F0BE0" w:rsidRDefault="00052B3F" w:rsidP="008F0BE0">
            <w:pPr>
              <w:rPr>
                <w:rFonts w:cs="Times New Roman"/>
                <w:sz w:val="18"/>
                <w:szCs w:val="18"/>
              </w:rPr>
            </w:pPr>
            <w:r w:rsidRPr="008F0BE0">
              <w:rPr>
                <w:rFonts w:cs="Times New Roman"/>
                <w:sz w:val="18"/>
                <w:szCs w:val="18"/>
              </w:rPr>
              <w:t>24-month measurement and verification period</w:t>
            </w:r>
          </w:p>
        </w:tc>
        <w:tc>
          <w:tcPr>
            <w:tcW w:w="3261" w:type="dxa"/>
          </w:tcPr>
          <w:p w14:paraId="3500E499" w14:textId="77777777" w:rsidR="00052B3F" w:rsidRPr="008F0BE0" w:rsidRDefault="00052B3F" w:rsidP="008F0BE0">
            <w:pPr>
              <w:rPr>
                <w:rFonts w:cs="Times New Roman"/>
                <w:sz w:val="18"/>
                <w:szCs w:val="18"/>
              </w:rPr>
            </w:pPr>
            <w:r w:rsidRPr="008F0BE0">
              <w:rPr>
                <w:rFonts w:cs="Times New Roman"/>
                <w:sz w:val="18"/>
                <w:szCs w:val="18"/>
              </w:rPr>
              <w:t>Exceeds LEED v4.1 M&amp;V credit requirements</w:t>
            </w:r>
          </w:p>
        </w:tc>
      </w:tr>
      <w:tr w:rsidR="00052B3F" w:rsidRPr="008F0BE0" w14:paraId="2938603D" w14:textId="77777777" w:rsidTr="008F0BE0">
        <w:tc>
          <w:tcPr>
            <w:tcW w:w="1696" w:type="dxa"/>
            <w:vMerge/>
          </w:tcPr>
          <w:p w14:paraId="25B6720D" w14:textId="77777777" w:rsidR="00052B3F" w:rsidRPr="008F0BE0" w:rsidRDefault="00052B3F" w:rsidP="008F0BE0">
            <w:pPr>
              <w:rPr>
                <w:rFonts w:cs="Times New Roman"/>
                <w:sz w:val="18"/>
                <w:szCs w:val="18"/>
              </w:rPr>
            </w:pPr>
          </w:p>
        </w:tc>
        <w:tc>
          <w:tcPr>
            <w:tcW w:w="5103" w:type="dxa"/>
          </w:tcPr>
          <w:p w14:paraId="63421DAF" w14:textId="77777777" w:rsidR="00052B3F" w:rsidRPr="008F0BE0" w:rsidRDefault="00052B3F" w:rsidP="008F0BE0">
            <w:pPr>
              <w:rPr>
                <w:rFonts w:cs="Times New Roman"/>
                <w:sz w:val="18"/>
                <w:szCs w:val="18"/>
              </w:rPr>
            </w:pPr>
            <w:r w:rsidRPr="008F0BE0">
              <w:rPr>
                <w:rFonts w:cs="Times New Roman"/>
                <w:sz w:val="18"/>
                <w:szCs w:val="18"/>
              </w:rPr>
              <w:t>Comprehensive operator training and detailed manuals</w:t>
            </w:r>
          </w:p>
        </w:tc>
        <w:tc>
          <w:tcPr>
            <w:tcW w:w="3261" w:type="dxa"/>
          </w:tcPr>
          <w:p w14:paraId="7A79AEEB" w14:textId="77777777" w:rsidR="00052B3F" w:rsidRPr="008F0BE0" w:rsidRDefault="00052B3F" w:rsidP="008F0BE0">
            <w:pPr>
              <w:rPr>
                <w:rFonts w:cs="Times New Roman"/>
                <w:sz w:val="18"/>
                <w:szCs w:val="18"/>
              </w:rPr>
            </w:pPr>
            <w:r w:rsidRPr="008F0BE0">
              <w:rPr>
                <w:rFonts w:cs="Times New Roman"/>
                <w:sz w:val="18"/>
                <w:szCs w:val="18"/>
              </w:rPr>
              <w:t>Aligns with best practices in building operations</w:t>
            </w:r>
          </w:p>
        </w:tc>
      </w:tr>
      <w:tr w:rsidR="00052B3F" w:rsidRPr="008F0BE0" w14:paraId="26D2793C" w14:textId="77777777" w:rsidTr="008F0BE0">
        <w:tc>
          <w:tcPr>
            <w:tcW w:w="1696" w:type="dxa"/>
            <w:vMerge/>
          </w:tcPr>
          <w:p w14:paraId="72D0C92B" w14:textId="77777777" w:rsidR="00052B3F" w:rsidRPr="008F0BE0" w:rsidRDefault="00052B3F" w:rsidP="008F0BE0">
            <w:pPr>
              <w:rPr>
                <w:rFonts w:cs="Times New Roman"/>
                <w:sz w:val="18"/>
                <w:szCs w:val="18"/>
              </w:rPr>
            </w:pPr>
          </w:p>
        </w:tc>
        <w:tc>
          <w:tcPr>
            <w:tcW w:w="5103" w:type="dxa"/>
          </w:tcPr>
          <w:p w14:paraId="4EC25BA0" w14:textId="77777777" w:rsidR="00052B3F" w:rsidRPr="008F0BE0" w:rsidRDefault="00052B3F" w:rsidP="008F0BE0">
            <w:pPr>
              <w:rPr>
                <w:rFonts w:cs="Times New Roman"/>
                <w:sz w:val="18"/>
                <w:szCs w:val="18"/>
              </w:rPr>
            </w:pPr>
            <w:r w:rsidRPr="008F0BE0">
              <w:rPr>
                <w:rFonts w:cs="Times New Roman"/>
                <w:sz w:val="18"/>
                <w:szCs w:val="18"/>
              </w:rPr>
              <w:t>Continuous commissioning with annual verification</w:t>
            </w:r>
          </w:p>
        </w:tc>
        <w:tc>
          <w:tcPr>
            <w:tcW w:w="3261" w:type="dxa"/>
          </w:tcPr>
          <w:p w14:paraId="1141DD46" w14:textId="77777777" w:rsidR="00052B3F" w:rsidRPr="008F0BE0" w:rsidRDefault="00052B3F" w:rsidP="008F0BE0">
            <w:pPr>
              <w:rPr>
                <w:rFonts w:cs="Times New Roman"/>
                <w:sz w:val="18"/>
                <w:szCs w:val="18"/>
              </w:rPr>
            </w:pPr>
            <w:r w:rsidRPr="008F0BE0">
              <w:rPr>
                <w:rFonts w:cs="Times New Roman"/>
                <w:sz w:val="18"/>
                <w:szCs w:val="18"/>
              </w:rPr>
              <w:t>Aligns with UBC continuous optimization program</w:t>
            </w:r>
          </w:p>
        </w:tc>
      </w:tr>
      <w:tr w:rsidR="00052B3F" w:rsidRPr="008F0BE0" w14:paraId="5B3AAE83" w14:textId="77777777" w:rsidTr="008F0BE0">
        <w:tc>
          <w:tcPr>
            <w:tcW w:w="1696" w:type="dxa"/>
            <w:vMerge/>
          </w:tcPr>
          <w:p w14:paraId="7381AC1D" w14:textId="77777777" w:rsidR="00052B3F" w:rsidRPr="008F0BE0" w:rsidRDefault="00052B3F" w:rsidP="008F0BE0">
            <w:pPr>
              <w:rPr>
                <w:rFonts w:cs="Times New Roman"/>
                <w:sz w:val="18"/>
                <w:szCs w:val="18"/>
              </w:rPr>
            </w:pPr>
          </w:p>
        </w:tc>
        <w:tc>
          <w:tcPr>
            <w:tcW w:w="5103" w:type="dxa"/>
          </w:tcPr>
          <w:p w14:paraId="50B4D303" w14:textId="77777777" w:rsidR="00052B3F" w:rsidRPr="008F0BE0" w:rsidRDefault="00052B3F" w:rsidP="008F0BE0">
            <w:pPr>
              <w:rPr>
                <w:rFonts w:cs="Times New Roman"/>
                <w:sz w:val="18"/>
                <w:szCs w:val="18"/>
              </w:rPr>
            </w:pPr>
            <w:r w:rsidRPr="008F0BE0">
              <w:rPr>
                <w:rFonts w:cs="Times New Roman"/>
                <w:sz w:val="18"/>
                <w:szCs w:val="18"/>
              </w:rPr>
              <w:t>5-year retro-commissioning cycle for existing buildings</w:t>
            </w:r>
          </w:p>
        </w:tc>
        <w:tc>
          <w:tcPr>
            <w:tcW w:w="3261" w:type="dxa"/>
          </w:tcPr>
          <w:p w14:paraId="44100B4E"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existing building management practices</w:t>
            </w:r>
          </w:p>
          <w:p w14:paraId="368E9AC9"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EA credit requirements</w:t>
            </w:r>
          </w:p>
          <w:p w14:paraId="17D4D6A1"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UBC continuous optimization program</w:t>
            </w:r>
          </w:p>
        </w:tc>
      </w:tr>
      <w:tr w:rsidR="00052B3F" w:rsidRPr="008F0BE0" w14:paraId="15D463ED" w14:textId="77777777" w:rsidTr="008F0BE0">
        <w:tc>
          <w:tcPr>
            <w:tcW w:w="1696" w:type="dxa"/>
            <w:vMerge w:val="restart"/>
          </w:tcPr>
          <w:p w14:paraId="7545B120" w14:textId="77777777" w:rsidR="00052B3F" w:rsidRPr="008F0BE0" w:rsidRDefault="00052B3F" w:rsidP="008F0BE0">
            <w:pPr>
              <w:rPr>
                <w:rFonts w:cs="Times New Roman"/>
                <w:sz w:val="18"/>
                <w:szCs w:val="18"/>
              </w:rPr>
            </w:pPr>
            <w:r w:rsidRPr="008F0BE0">
              <w:rPr>
                <w:rFonts w:cs="Times New Roman"/>
                <w:sz w:val="18"/>
                <w:szCs w:val="18"/>
              </w:rPr>
              <w:t>Resilience and Climate Change Adaptation</w:t>
            </w:r>
          </w:p>
          <w:p w14:paraId="0DA91B27" w14:textId="77777777" w:rsidR="00052B3F" w:rsidRPr="008F0BE0" w:rsidRDefault="00052B3F" w:rsidP="008F0BE0">
            <w:pPr>
              <w:rPr>
                <w:rFonts w:cs="Times New Roman"/>
                <w:sz w:val="18"/>
                <w:szCs w:val="18"/>
              </w:rPr>
            </w:pPr>
          </w:p>
        </w:tc>
        <w:tc>
          <w:tcPr>
            <w:tcW w:w="5103" w:type="dxa"/>
          </w:tcPr>
          <w:p w14:paraId="2B836AD4" w14:textId="77777777" w:rsidR="00052B3F" w:rsidRPr="008F0BE0" w:rsidRDefault="00052B3F" w:rsidP="008F0BE0">
            <w:pPr>
              <w:pStyle w:val="ListParagraph"/>
              <w:numPr>
                <w:ilvl w:val="0"/>
                <w:numId w:val="46"/>
              </w:numPr>
              <w:spacing w:after="0" w:line="240" w:lineRule="auto"/>
              <w:ind w:left="318" w:hanging="279"/>
              <w:rPr>
                <w:rFonts w:cs="Times New Roman"/>
                <w:color w:val="000000"/>
                <w:sz w:val="18"/>
                <w:szCs w:val="18"/>
              </w:rPr>
            </w:pPr>
            <w:r w:rsidRPr="008F0BE0">
              <w:rPr>
                <w:rFonts w:cs="Times New Roman"/>
                <w:color w:val="000000"/>
                <w:sz w:val="18"/>
                <w:szCs w:val="18"/>
              </w:rPr>
              <w:t>Locate critical building systems and infrastructure above the 100-year flood level</w:t>
            </w:r>
          </w:p>
          <w:p w14:paraId="6BA621AD" w14:textId="77777777" w:rsidR="00052B3F" w:rsidRPr="008F0BE0" w:rsidRDefault="00052B3F" w:rsidP="008F0BE0">
            <w:pPr>
              <w:pStyle w:val="ListParagraph"/>
              <w:numPr>
                <w:ilvl w:val="0"/>
                <w:numId w:val="46"/>
              </w:numPr>
              <w:spacing w:after="0" w:line="240" w:lineRule="auto"/>
              <w:ind w:left="318" w:hanging="279"/>
              <w:rPr>
                <w:rFonts w:cs="Times New Roman"/>
                <w:color w:val="000000"/>
                <w:sz w:val="18"/>
                <w:szCs w:val="18"/>
              </w:rPr>
            </w:pPr>
            <w:r w:rsidRPr="008F0BE0">
              <w:rPr>
                <w:rFonts w:cs="Times New Roman"/>
                <w:color w:val="000000"/>
                <w:sz w:val="18"/>
                <w:szCs w:val="18"/>
              </w:rPr>
              <w:t>Install backflow preventers on sewer lines</w:t>
            </w:r>
          </w:p>
          <w:p w14:paraId="5F66E1CE" w14:textId="77777777" w:rsidR="00052B3F" w:rsidRPr="008F0BE0" w:rsidRDefault="00052B3F" w:rsidP="008F0BE0">
            <w:pPr>
              <w:pStyle w:val="ListParagraph"/>
              <w:numPr>
                <w:ilvl w:val="0"/>
                <w:numId w:val="46"/>
              </w:numPr>
              <w:spacing w:after="0" w:line="240" w:lineRule="auto"/>
              <w:ind w:left="318" w:hanging="279"/>
              <w:rPr>
                <w:rFonts w:cs="Times New Roman"/>
                <w:sz w:val="18"/>
                <w:szCs w:val="18"/>
              </w:rPr>
            </w:pPr>
            <w:r w:rsidRPr="008F0BE0">
              <w:rPr>
                <w:rFonts w:cs="Times New Roman"/>
                <w:color w:val="000000"/>
                <w:sz w:val="18"/>
                <w:szCs w:val="18"/>
              </w:rPr>
              <w:t>Design site to manage at least 25mm of stormwater runoff onsite</w:t>
            </w:r>
          </w:p>
        </w:tc>
        <w:tc>
          <w:tcPr>
            <w:tcW w:w="3261" w:type="dxa"/>
          </w:tcPr>
          <w:p w14:paraId="08F194B3" w14:textId="77777777" w:rsidR="00052B3F" w:rsidRPr="008F0BE0" w:rsidRDefault="00052B3F" w:rsidP="008F0BE0">
            <w:pPr>
              <w:rPr>
                <w:rFonts w:cs="Times New Roman"/>
                <w:color w:val="000000"/>
                <w:sz w:val="18"/>
                <w:szCs w:val="18"/>
              </w:rPr>
            </w:pPr>
            <w:r w:rsidRPr="008F0BE0">
              <w:rPr>
                <w:rFonts w:cs="Times New Roman"/>
                <w:color w:val="000000"/>
                <w:sz w:val="18"/>
                <w:szCs w:val="18"/>
              </w:rPr>
              <w:t>Aligns with TGS Tier 2</w:t>
            </w:r>
          </w:p>
          <w:p w14:paraId="36E249FB"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U of T standards</w:t>
            </w:r>
          </w:p>
          <w:p w14:paraId="223CE971" w14:textId="5673FD05" w:rsidR="00052B3F" w:rsidRPr="008F0BE0" w:rsidRDefault="00052B3F" w:rsidP="008F0BE0">
            <w:pPr>
              <w:rPr>
                <w:rFonts w:cs="Times New Roman"/>
                <w:color w:val="000000"/>
                <w:sz w:val="18"/>
                <w:szCs w:val="18"/>
              </w:rPr>
            </w:pPr>
            <w:r w:rsidRPr="008F0BE0">
              <w:rPr>
                <w:rFonts w:cs="Times New Roman"/>
                <w:color w:val="000000"/>
                <w:sz w:val="18"/>
                <w:szCs w:val="18"/>
              </w:rPr>
              <w:t>Aligns with UBC</w:t>
            </w:r>
            <w:r w:rsidR="00027B17">
              <w:rPr>
                <w:rFonts w:cs="Times New Roman"/>
                <w:color w:val="000000"/>
                <w:sz w:val="18"/>
                <w:szCs w:val="18"/>
              </w:rPr>
              <w:t>’</w:t>
            </w:r>
            <w:r w:rsidRPr="008F0BE0">
              <w:rPr>
                <w:rFonts w:cs="Times New Roman"/>
                <w:color w:val="000000"/>
                <w:sz w:val="18"/>
                <w:szCs w:val="18"/>
              </w:rPr>
              <w:t>s flood resilience measures</w:t>
            </w:r>
          </w:p>
        </w:tc>
      </w:tr>
      <w:tr w:rsidR="00052B3F" w:rsidRPr="008F0BE0" w14:paraId="2C6E068A" w14:textId="77777777" w:rsidTr="008F0BE0">
        <w:tc>
          <w:tcPr>
            <w:tcW w:w="1696" w:type="dxa"/>
            <w:vMerge/>
          </w:tcPr>
          <w:p w14:paraId="100A46B4" w14:textId="77777777" w:rsidR="00052B3F" w:rsidRPr="008F0BE0" w:rsidRDefault="00052B3F" w:rsidP="008F0BE0">
            <w:pPr>
              <w:rPr>
                <w:rFonts w:cs="Times New Roman"/>
                <w:sz w:val="18"/>
                <w:szCs w:val="18"/>
              </w:rPr>
            </w:pPr>
          </w:p>
        </w:tc>
        <w:tc>
          <w:tcPr>
            <w:tcW w:w="5103" w:type="dxa"/>
          </w:tcPr>
          <w:p w14:paraId="7547256E" w14:textId="77777777" w:rsidR="00052B3F" w:rsidRPr="008F0BE0" w:rsidRDefault="00052B3F" w:rsidP="008F0BE0">
            <w:pPr>
              <w:pStyle w:val="ListParagraph"/>
              <w:numPr>
                <w:ilvl w:val="0"/>
                <w:numId w:val="47"/>
              </w:numPr>
              <w:spacing w:after="0" w:line="240" w:lineRule="auto"/>
              <w:ind w:left="318" w:hanging="279"/>
              <w:rPr>
                <w:rFonts w:cs="Times New Roman"/>
                <w:color w:val="000000"/>
                <w:sz w:val="18"/>
                <w:szCs w:val="18"/>
              </w:rPr>
            </w:pPr>
            <w:r w:rsidRPr="008F0BE0">
              <w:rPr>
                <w:rFonts w:cs="Times New Roman"/>
                <w:color w:val="000000"/>
                <w:sz w:val="18"/>
                <w:szCs w:val="18"/>
              </w:rPr>
              <w:t>Design building envelope to maintain indoor temperatures within 2°C of set point for 72 hours during power outages</w:t>
            </w:r>
          </w:p>
          <w:p w14:paraId="4573D616" w14:textId="77777777" w:rsidR="00052B3F" w:rsidRPr="008F0BE0" w:rsidRDefault="00052B3F" w:rsidP="008F0BE0">
            <w:pPr>
              <w:pStyle w:val="ListParagraph"/>
              <w:numPr>
                <w:ilvl w:val="0"/>
                <w:numId w:val="47"/>
              </w:numPr>
              <w:spacing w:after="0" w:line="240" w:lineRule="auto"/>
              <w:ind w:left="318" w:hanging="279"/>
              <w:rPr>
                <w:rFonts w:cs="Times New Roman"/>
                <w:sz w:val="18"/>
                <w:szCs w:val="18"/>
              </w:rPr>
            </w:pPr>
            <w:r w:rsidRPr="008F0BE0">
              <w:rPr>
                <w:rFonts w:cs="Times New Roman"/>
                <w:color w:val="000000"/>
                <w:sz w:val="18"/>
                <w:szCs w:val="18"/>
              </w:rPr>
              <w:t>Provide shading for at least 50% of hardscapes and pedestrian areas</w:t>
            </w:r>
          </w:p>
        </w:tc>
        <w:tc>
          <w:tcPr>
            <w:tcW w:w="3261" w:type="dxa"/>
          </w:tcPr>
          <w:p w14:paraId="07E8DDD7"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w:t>
            </w:r>
          </w:p>
          <w:p w14:paraId="0B933E66" w14:textId="3CC374E1" w:rsidR="00052B3F" w:rsidRPr="008F0BE0" w:rsidRDefault="00052B3F" w:rsidP="008F0BE0">
            <w:pPr>
              <w:rPr>
                <w:rFonts w:cs="Times New Roman"/>
                <w:color w:val="000000"/>
                <w:sz w:val="18"/>
                <w:szCs w:val="18"/>
              </w:rPr>
            </w:pPr>
            <w:r w:rsidRPr="008F0BE0">
              <w:rPr>
                <w:rFonts w:cs="Times New Roman"/>
                <w:color w:val="000000"/>
                <w:sz w:val="18"/>
                <w:szCs w:val="18"/>
              </w:rPr>
              <w:t>Aligns with U of T</w:t>
            </w:r>
            <w:r w:rsidR="00027B17">
              <w:rPr>
                <w:rFonts w:cs="Times New Roman"/>
                <w:color w:val="000000"/>
                <w:sz w:val="18"/>
                <w:szCs w:val="18"/>
              </w:rPr>
              <w:t>’</w:t>
            </w:r>
            <w:r w:rsidRPr="008F0BE0">
              <w:rPr>
                <w:rFonts w:cs="Times New Roman"/>
                <w:color w:val="000000"/>
                <w:sz w:val="18"/>
                <w:szCs w:val="18"/>
              </w:rPr>
              <w:t>s thermal resilience goals</w:t>
            </w:r>
          </w:p>
          <w:p w14:paraId="2ACD98DC" w14:textId="77777777" w:rsidR="00052B3F" w:rsidRPr="008F0BE0" w:rsidRDefault="00052B3F" w:rsidP="008F0BE0">
            <w:pPr>
              <w:rPr>
                <w:rFonts w:cs="Times New Roman"/>
                <w:sz w:val="18"/>
                <w:szCs w:val="18"/>
              </w:rPr>
            </w:pPr>
            <w:r w:rsidRPr="008F0BE0">
              <w:rPr>
                <w:rFonts w:cs="Times New Roman"/>
                <w:color w:val="000000"/>
                <w:sz w:val="18"/>
                <w:szCs w:val="18"/>
              </w:rPr>
              <w:t>Exceeds Humber College standards</w:t>
            </w:r>
          </w:p>
        </w:tc>
      </w:tr>
      <w:tr w:rsidR="00052B3F" w:rsidRPr="008F0BE0" w14:paraId="74DAFB94" w14:textId="77777777" w:rsidTr="008F0BE0">
        <w:tc>
          <w:tcPr>
            <w:tcW w:w="1696" w:type="dxa"/>
            <w:vMerge/>
          </w:tcPr>
          <w:p w14:paraId="13FDB513" w14:textId="77777777" w:rsidR="00052B3F" w:rsidRPr="008F0BE0" w:rsidRDefault="00052B3F" w:rsidP="008F0BE0">
            <w:pPr>
              <w:rPr>
                <w:rFonts w:cs="Times New Roman"/>
                <w:sz w:val="18"/>
                <w:szCs w:val="18"/>
              </w:rPr>
            </w:pPr>
          </w:p>
        </w:tc>
        <w:tc>
          <w:tcPr>
            <w:tcW w:w="5103" w:type="dxa"/>
          </w:tcPr>
          <w:p w14:paraId="071864AF" w14:textId="77777777" w:rsidR="00052B3F" w:rsidRPr="008F0BE0" w:rsidRDefault="00052B3F" w:rsidP="008F0BE0">
            <w:pPr>
              <w:pStyle w:val="ListParagraph"/>
              <w:numPr>
                <w:ilvl w:val="0"/>
                <w:numId w:val="48"/>
              </w:numPr>
              <w:spacing w:after="0" w:line="240" w:lineRule="auto"/>
              <w:ind w:left="318" w:hanging="279"/>
              <w:rPr>
                <w:rFonts w:cs="Times New Roman"/>
                <w:color w:val="000000"/>
                <w:sz w:val="18"/>
                <w:szCs w:val="18"/>
              </w:rPr>
            </w:pPr>
            <w:r w:rsidRPr="008F0BE0">
              <w:rPr>
                <w:rFonts w:cs="Times New Roman"/>
                <w:color w:val="000000"/>
                <w:sz w:val="18"/>
                <w:szCs w:val="18"/>
              </w:rPr>
              <w:t>Ensure critical building systems can operate at -20°C for 72 hours</w:t>
            </w:r>
          </w:p>
          <w:p w14:paraId="4DDB4BB0" w14:textId="77777777" w:rsidR="00052B3F" w:rsidRPr="008F0BE0" w:rsidRDefault="00052B3F" w:rsidP="008F0BE0">
            <w:pPr>
              <w:pStyle w:val="ListParagraph"/>
              <w:numPr>
                <w:ilvl w:val="0"/>
                <w:numId w:val="48"/>
              </w:numPr>
              <w:spacing w:after="0" w:line="240" w:lineRule="auto"/>
              <w:ind w:left="318" w:hanging="279"/>
              <w:rPr>
                <w:rFonts w:cs="Times New Roman"/>
                <w:sz w:val="18"/>
                <w:szCs w:val="18"/>
              </w:rPr>
            </w:pPr>
            <w:r w:rsidRPr="008F0BE0">
              <w:rPr>
                <w:rFonts w:cs="Times New Roman"/>
                <w:color w:val="000000"/>
                <w:sz w:val="18"/>
                <w:szCs w:val="18"/>
              </w:rPr>
              <w:t>Install cold-weather protection for water pipes and sprinkler systems</w:t>
            </w:r>
          </w:p>
        </w:tc>
        <w:tc>
          <w:tcPr>
            <w:tcW w:w="3261" w:type="dxa"/>
          </w:tcPr>
          <w:p w14:paraId="70F38F07" w14:textId="77777777" w:rsidR="00052B3F" w:rsidRPr="008F0BE0" w:rsidRDefault="00052B3F" w:rsidP="008F0BE0">
            <w:pPr>
              <w:rPr>
                <w:rFonts w:cs="Times New Roman"/>
                <w:color w:val="000000"/>
                <w:sz w:val="18"/>
                <w:szCs w:val="18"/>
              </w:rPr>
            </w:pPr>
            <w:r w:rsidRPr="008F0BE0">
              <w:rPr>
                <w:rFonts w:cs="Times New Roman"/>
                <w:color w:val="000000"/>
                <w:sz w:val="18"/>
                <w:szCs w:val="18"/>
              </w:rPr>
              <w:t>Not explicitly in TGS</w:t>
            </w:r>
          </w:p>
          <w:p w14:paraId="4AC2F58E" w14:textId="7403D10B" w:rsidR="00052B3F" w:rsidRPr="008F0BE0" w:rsidRDefault="00052B3F" w:rsidP="008F0BE0">
            <w:pPr>
              <w:rPr>
                <w:rFonts w:cs="Times New Roman"/>
                <w:color w:val="000000"/>
                <w:sz w:val="18"/>
                <w:szCs w:val="18"/>
              </w:rPr>
            </w:pPr>
            <w:r w:rsidRPr="008F0BE0">
              <w:rPr>
                <w:rFonts w:cs="Times New Roman"/>
                <w:color w:val="000000"/>
                <w:sz w:val="18"/>
                <w:szCs w:val="18"/>
              </w:rPr>
              <w:t>Aligns with U of T</w:t>
            </w:r>
            <w:r w:rsidR="00027B17">
              <w:rPr>
                <w:rFonts w:cs="Times New Roman"/>
                <w:color w:val="000000"/>
                <w:sz w:val="18"/>
                <w:szCs w:val="18"/>
              </w:rPr>
              <w:t>’</w:t>
            </w:r>
            <w:r w:rsidRPr="008F0BE0">
              <w:rPr>
                <w:rFonts w:cs="Times New Roman"/>
                <w:color w:val="000000"/>
                <w:sz w:val="18"/>
                <w:szCs w:val="18"/>
              </w:rPr>
              <w:t>s winter resilience measures</w:t>
            </w:r>
          </w:p>
          <w:p w14:paraId="345325B9" w14:textId="77777777" w:rsidR="00052B3F" w:rsidRPr="008F0BE0" w:rsidRDefault="00052B3F" w:rsidP="008F0BE0">
            <w:pPr>
              <w:rPr>
                <w:rFonts w:cs="Times New Roman"/>
                <w:sz w:val="18"/>
                <w:szCs w:val="18"/>
              </w:rPr>
            </w:pPr>
            <w:r w:rsidRPr="008F0BE0">
              <w:rPr>
                <w:rFonts w:cs="Times New Roman"/>
                <w:color w:val="000000"/>
                <w:sz w:val="18"/>
                <w:szCs w:val="18"/>
              </w:rPr>
              <w:lastRenderedPageBreak/>
              <w:t>Exceeds most university standards</w:t>
            </w:r>
          </w:p>
        </w:tc>
      </w:tr>
      <w:tr w:rsidR="00052B3F" w:rsidRPr="008F0BE0" w14:paraId="65343355" w14:textId="77777777" w:rsidTr="008F0BE0">
        <w:tc>
          <w:tcPr>
            <w:tcW w:w="1696" w:type="dxa"/>
            <w:vMerge/>
          </w:tcPr>
          <w:p w14:paraId="0FF240A6" w14:textId="77777777" w:rsidR="00052B3F" w:rsidRPr="008F0BE0" w:rsidRDefault="00052B3F" w:rsidP="008F0BE0">
            <w:pPr>
              <w:rPr>
                <w:rFonts w:cs="Times New Roman"/>
                <w:sz w:val="18"/>
                <w:szCs w:val="18"/>
              </w:rPr>
            </w:pPr>
          </w:p>
        </w:tc>
        <w:tc>
          <w:tcPr>
            <w:tcW w:w="5103" w:type="dxa"/>
          </w:tcPr>
          <w:p w14:paraId="5BA6D8B9" w14:textId="77777777" w:rsidR="00052B3F" w:rsidRPr="008F0BE0" w:rsidRDefault="00052B3F" w:rsidP="008F0BE0">
            <w:pPr>
              <w:pStyle w:val="ListParagraph"/>
              <w:numPr>
                <w:ilvl w:val="0"/>
                <w:numId w:val="49"/>
              </w:numPr>
              <w:spacing w:after="0" w:line="240" w:lineRule="auto"/>
              <w:ind w:left="318" w:hanging="279"/>
              <w:rPr>
                <w:rFonts w:cs="Times New Roman"/>
                <w:color w:val="000000"/>
                <w:sz w:val="18"/>
                <w:szCs w:val="18"/>
              </w:rPr>
            </w:pPr>
            <w:r w:rsidRPr="008F0BE0">
              <w:rPr>
                <w:rFonts w:cs="Times New Roman"/>
                <w:color w:val="000000"/>
                <w:sz w:val="18"/>
                <w:szCs w:val="18"/>
              </w:rPr>
              <w:t>Provide backup power for critical systems for at least 72 hours</w:t>
            </w:r>
          </w:p>
          <w:p w14:paraId="2AD528CB" w14:textId="77777777" w:rsidR="00052B3F" w:rsidRPr="008F0BE0" w:rsidRDefault="00052B3F" w:rsidP="008F0BE0">
            <w:pPr>
              <w:pStyle w:val="ListParagraph"/>
              <w:numPr>
                <w:ilvl w:val="0"/>
                <w:numId w:val="49"/>
              </w:numPr>
              <w:spacing w:after="0" w:line="240" w:lineRule="auto"/>
              <w:ind w:left="318" w:hanging="279"/>
              <w:rPr>
                <w:rFonts w:cs="Times New Roman"/>
                <w:sz w:val="18"/>
                <w:szCs w:val="18"/>
              </w:rPr>
            </w:pPr>
            <w:r w:rsidRPr="008F0BE0">
              <w:rPr>
                <w:rFonts w:cs="Times New Roman"/>
                <w:color w:val="000000"/>
                <w:sz w:val="18"/>
                <w:szCs w:val="18"/>
              </w:rPr>
              <w:t>Install islanding capability for onsite renewable energy systems</w:t>
            </w:r>
          </w:p>
        </w:tc>
        <w:tc>
          <w:tcPr>
            <w:tcW w:w="3261" w:type="dxa"/>
          </w:tcPr>
          <w:p w14:paraId="4E8AC9B0"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 (which requires 72 hours for refuge areas only)</w:t>
            </w:r>
          </w:p>
          <w:p w14:paraId="3D684BE4" w14:textId="7484AF9E" w:rsidR="00052B3F" w:rsidRPr="008F0BE0" w:rsidRDefault="00052B3F" w:rsidP="008F0BE0">
            <w:pPr>
              <w:rPr>
                <w:rFonts w:cs="Times New Roman"/>
                <w:sz w:val="18"/>
                <w:szCs w:val="18"/>
              </w:rPr>
            </w:pPr>
            <w:r w:rsidRPr="008F0BE0">
              <w:rPr>
                <w:rFonts w:cs="Times New Roman"/>
                <w:color w:val="000000"/>
                <w:sz w:val="18"/>
                <w:szCs w:val="18"/>
              </w:rPr>
              <w:t>Aligns with U of T</w:t>
            </w:r>
            <w:r w:rsidR="00027B17">
              <w:rPr>
                <w:rFonts w:cs="Times New Roman"/>
                <w:color w:val="000000"/>
                <w:sz w:val="18"/>
                <w:szCs w:val="18"/>
              </w:rPr>
              <w:t>’</w:t>
            </w:r>
            <w:r w:rsidRPr="008F0BE0">
              <w:rPr>
                <w:rFonts w:cs="Times New Roman"/>
                <w:color w:val="000000"/>
                <w:sz w:val="18"/>
                <w:szCs w:val="18"/>
              </w:rPr>
              <w:t>s power resilience standards</w:t>
            </w:r>
          </w:p>
        </w:tc>
      </w:tr>
      <w:tr w:rsidR="00052B3F" w:rsidRPr="008F0BE0" w14:paraId="2113F246" w14:textId="77777777" w:rsidTr="008F0BE0">
        <w:tc>
          <w:tcPr>
            <w:tcW w:w="1696" w:type="dxa"/>
            <w:vMerge/>
          </w:tcPr>
          <w:p w14:paraId="1EA224FD" w14:textId="77777777" w:rsidR="00052B3F" w:rsidRPr="008F0BE0" w:rsidRDefault="00052B3F" w:rsidP="008F0BE0">
            <w:pPr>
              <w:rPr>
                <w:rFonts w:cs="Times New Roman"/>
                <w:sz w:val="18"/>
                <w:szCs w:val="18"/>
              </w:rPr>
            </w:pPr>
          </w:p>
        </w:tc>
        <w:tc>
          <w:tcPr>
            <w:tcW w:w="5103" w:type="dxa"/>
          </w:tcPr>
          <w:p w14:paraId="4D71C0F8" w14:textId="77777777" w:rsidR="00052B3F" w:rsidRPr="008F0BE0" w:rsidRDefault="00052B3F" w:rsidP="008F0BE0">
            <w:pPr>
              <w:pStyle w:val="ListParagraph"/>
              <w:numPr>
                <w:ilvl w:val="0"/>
                <w:numId w:val="50"/>
              </w:numPr>
              <w:spacing w:after="0" w:line="240" w:lineRule="auto"/>
              <w:ind w:left="318" w:hanging="279"/>
              <w:rPr>
                <w:rFonts w:cs="Times New Roman"/>
                <w:color w:val="000000"/>
                <w:sz w:val="18"/>
                <w:szCs w:val="18"/>
              </w:rPr>
            </w:pPr>
            <w:r w:rsidRPr="008F0BE0">
              <w:rPr>
                <w:rFonts w:cs="Times New Roman"/>
                <w:color w:val="000000"/>
                <w:sz w:val="18"/>
                <w:szCs w:val="18"/>
              </w:rPr>
              <w:t>Design structures to withstand wind speeds 20% above current building code requirements</w:t>
            </w:r>
          </w:p>
          <w:p w14:paraId="2004D9BD" w14:textId="77777777" w:rsidR="00052B3F" w:rsidRPr="008F0BE0" w:rsidRDefault="00052B3F" w:rsidP="008F0BE0">
            <w:pPr>
              <w:pStyle w:val="ListParagraph"/>
              <w:numPr>
                <w:ilvl w:val="0"/>
                <w:numId w:val="50"/>
              </w:numPr>
              <w:spacing w:after="0" w:line="240" w:lineRule="auto"/>
              <w:ind w:left="318" w:hanging="279"/>
              <w:rPr>
                <w:rFonts w:cs="Times New Roman"/>
                <w:sz w:val="18"/>
                <w:szCs w:val="18"/>
              </w:rPr>
            </w:pPr>
            <w:r w:rsidRPr="008F0BE0">
              <w:rPr>
                <w:rFonts w:cs="Times New Roman"/>
                <w:color w:val="000000"/>
                <w:sz w:val="18"/>
                <w:szCs w:val="18"/>
              </w:rPr>
              <w:t>Use corrosion-resistant materials in areas prone to moisture</w:t>
            </w:r>
          </w:p>
        </w:tc>
        <w:tc>
          <w:tcPr>
            <w:tcW w:w="3261" w:type="dxa"/>
          </w:tcPr>
          <w:p w14:paraId="7521F3DC"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w:t>
            </w:r>
          </w:p>
          <w:p w14:paraId="329534B6" w14:textId="69D8D8E2" w:rsidR="00052B3F" w:rsidRPr="008F0BE0" w:rsidRDefault="00052B3F" w:rsidP="008F0BE0">
            <w:pPr>
              <w:rPr>
                <w:rFonts w:cs="Times New Roman"/>
                <w:sz w:val="18"/>
                <w:szCs w:val="18"/>
              </w:rPr>
            </w:pPr>
            <w:r w:rsidRPr="008F0BE0">
              <w:rPr>
                <w:rFonts w:cs="Times New Roman"/>
                <w:color w:val="000000"/>
                <w:sz w:val="18"/>
                <w:szCs w:val="18"/>
              </w:rPr>
              <w:t>Aligns with UBC</w:t>
            </w:r>
            <w:r w:rsidR="00027B17">
              <w:rPr>
                <w:rFonts w:cs="Times New Roman"/>
                <w:color w:val="000000"/>
                <w:sz w:val="18"/>
                <w:szCs w:val="18"/>
              </w:rPr>
              <w:t>’</w:t>
            </w:r>
            <w:r w:rsidRPr="008F0BE0">
              <w:rPr>
                <w:rFonts w:cs="Times New Roman"/>
                <w:color w:val="000000"/>
                <w:sz w:val="18"/>
                <w:szCs w:val="18"/>
              </w:rPr>
              <w:t xml:space="preserve">s seismic resilience standards </w:t>
            </w:r>
          </w:p>
        </w:tc>
      </w:tr>
      <w:tr w:rsidR="00052B3F" w:rsidRPr="008F0BE0" w14:paraId="7D2656B7" w14:textId="77777777" w:rsidTr="008F0BE0">
        <w:tc>
          <w:tcPr>
            <w:tcW w:w="1696" w:type="dxa"/>
            <w:vMerge/>
          </w:tcPr>
          <w:p w14:paraId="15423E33" w14:textId="77777777" w:rsidR="00052B3F" w:rsidRPr="008F0BE0" w:rsidRDefault="00052B3F" w:rsidP="008F0BE0">
            <w:pPr>
              <w:rPr>
                <w:rFonts w:cs="Times New Roman"/>
                <w:sz w:val="18"/>
                <w:szCs w:val="18"/>
              </w:rPr>
            </w:pPr>
          </w:p>
        </w:tc>
        <w:tc>
          <w:tcPr>
            <w:tcW w:w="5103" w:type="dxa"/>
          </w:tcPr>
          <w:p w14:paraId="2958EB0B" w14:textId="77777777" w:rsidR="00052B3F" w:rsidRPr="008F0BE0" w:rsidRDefault="00052B3F" w:rsidP="008F0BE0">
            <w:pPr>
              <w:pStyle w:val="ListParagraph"/>
              <w:numPr>
                <w:ilvl w:val="0"/>
                <w:numId w:val="51"/>
              </w:numPr>
              <w:spacing w:after="0" w:line="240" w:lineRule="auto"/>
              <w:ind w:left="318" w:hanging="279"/>
              <w:rPr>
                <w:rFonts w:cs="Times New Roman"/>
                <w:color w:val="000000"/>
                <w:sz w:val="18"/>
                <w:szCs w:val="18"/>
              </w:rPr>
            </w:pPr>
            <w:r w:rsidRPr="008F0BE0">
              <w:rPr>
                <w:rFonts w:cs="Times New Roman"/>
                <w:color w:val="000000"/>
                <w:sz w:val="18"/>
                <w:szCs w:val="18"/>
              </w:rPr>
              <w:t>Install rainwater harvesting systems with capacity to meet 50% of non-potable water demand</w:t>
            </w:r>
          </w:p>
          <w:p w14:paraId="533DC788" w14:textId="77777777" w:rsidR="00052B3F" w:rsidRPr="008F0BE0" w:rsidRDefault="00052B3F" w:rsidP="008F0BE0">
            <w:pPr>
              <w:pStyle w:val="ListParagraph"/>
              <w:numPr>
                <w:ilvl w:val="0"/>
                <w:numId w:val="51"/>
              </w:numPr>
              <w:spacing w:after="0" w:line="240" w:lineRule="auto"/>
              <w:ind w:left="318" w:hanging="279"/>
              <w:rPr>
                <w:rFonts w:cs="Times New Roman"/>
                <w:sz w:val="18"/>
                <w:szCs w:val="18"/>
              </w:rPr>
            </w:pPr>
            <w:r w:rsidRPr="008F0BE0">
              <w:rPr>
                <w:rFonts w:cs="Times New Roman"/>
                <w:color w:val="000000"/>
                <w:sz w:val="18"/>
                <w:szCs w:val="18"/>
              </w:rPr>
              <w:t>Design landscaping to use 50% less potable water than baseline</w:t>
            </w:r>
          </w:p>
        </w:tc>
        <w:tc>
          <w:tcPr>
            <w:tcW w:w="3261" w:type="dxa"/>
          </w:tcPr>
          <w:p w14:paraId="041C91A3"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w:t>
            </w:r>
          </w:p>
          <w:p w14:paraId="570BDCE6" w14:textId="77777777" w:rsidR="00052B3F" w:rsidRPr="008F0BE0" w:rsidRDefault="00052B3F" w:rsidP="008F0BE0">
            <w:pPr>
              <w:rPr>
                <w:rFonts w:cs="Times New Roman"/>
                <w:sz w:val="18"/>
                <w:szCs w:val="18"/>
              </w:rPr>
            </w:pPr>
            <w:r w:rsidRPr="008F0BE0">
              <w:rPr>
                <w:rFonts w:cs="Times New Roman"/>
                <w:color w:val="000000"/>
                <w:sz w:val="18"/>
                <w:szCs w:val="18"/>
              </w:rPr>
              <w:t>Aligns with U of T and UBC water conservation goals</w:t>
            </w:r>
          </w:p>
        </w:tc>
      </w:tr>
      <w:tr w:rsidR="00052B3F" w:rsidRPr="008F0BE0" w14:paraId="594FCB50" w14:textId="77777777" w:rsidTr="008F0BE0">
        <w:tc>
          <w:tcPr>
            <w:tcW w:w="1696" w:type="dxa"/>
            <w:vMerge/>
          </w:tcPr>
          <w:p w14:paraId="42D9B1A7" w14:textId="77777777" w:rsidR="00052B3F" w:rsidRPr="008F0BE0" w:rsidRDefault="00052B3F" w:rsidP="008F0BE0">
            <w:pPr>
              <w:rPr>
                <w:rFonts w:cs="Times New Roman"/>
                <w:sz w:val="18"/>
                <w:szCs w:val="18"/>
              </w:rPr>
            </w:pPr>
          </w:p>
        </w:tc>
        <w:tc>
          <w:tcPr>
            <w:tcW w:w="5103" w:type="dxa"/>
          </w:tcPr>
          <w:p w14:paraId="34812138" w14:textId="77777777" w:rsidR="00052B3F" w:rsidRPr="008F0BE0" w:rsidRDefault="00052B3F" w:rsidP="008F0BE0">
            <w:pPr>
              <w:pStyle w:val="ListParagraph"/>
              <w:numPr>
                <w:ilvl w:val="0"/>
                <w:numId w:val="52"/>
              </w:numPr>
              <w:spacing w:after="0" w:line="240" w:lineRule="auto"/>
              <w:ind w:left="318" w:hanging="279"/>
              <w:rPr>
                <w:rFonts w:cs="Times New Roman"/>
                <w:color w:val="000000"/>
                <w:sz w:val="18"/>
                <w:szCs w:val="18"/>
              </w:rPr>
            </w:pPr>
            <w:r w:rsidRPr="008F0BE0">
              <w:rPr>
                <w:rFonts w:cs="Times New Roman"/>
                <w:color w:val="000000"/>
                <w:sz w:val="18"/>
                <w:szCs w:val="18"/>
              </w:rPr>
              <w:t>Design 30% of floor area to be adaptable for different uses without major renovation</w:t>
            </w:r>
          </w:p>
          <w:p w14:paraId="58E43B1B" w14:textId="77777777" w:rsidR="00052B3F" w:rsidRPr="008F0BE0" w:rsidRDefault="00052B3F" w:rsidP="008F0BE0">
            <w:pPr>
              <w:pStyle w:val="ListParagraph"/>
              <w:numPr>
                <w:ilvl w:val="0"/>
                <w:numId w:val="52"/>
              </w:numPr>
              <w:spacing w:after="0" w:line="240" w:lineRule="auto"/>
              <w:ind w:left="318" w:hanging="279"/>
              <w:rPr>
                <w:rFonts w:cs="Times New Roman"/>
                <w:sz w:val="18"/>
                <w:szCs w:val="18"/>
              </w:rPr>
            </w:pPr>
            <w:r w:rsidRPr="008F0BE0">
              <w:rPr>
                <w:rFonts w:cs="Times New Roman"/>
                <w:color w:val="000000"/>
                <w:sz w:val="18"/>
                <w:szCs w:val="18"/>
              </w:rPr>
              <w:t>Use modular systems for easy replacement and upgrading</w:t>
            </w:r>
          </w:p>
        </w:tc>
        <w:tc>
          <w:tcPr>
            <w:tcW w:w="3261" w:type="dxa"/>
          </w:tcPr>
          <w:p w14:paraId="46BC6BE0" w14:textId="77777777" w:rsidR="00052B3F" w:rsidRPr="008F0BE0" w:rsidRDefault="00052B3F" w:rsidP="008F0BE0">
            <w:pPr>
              <w:rPr>
                <w:rFonts w:cs="Times New Roman"/>
                <w:color w:val="000000"/>
                <w:sz w:val="18"/>
                <w:szCs w:val="18"/>
              </w:rPr>
            </w:pPr>
            <w:r w:rsidRPr="008F0BE0">
              <w:rPr>
                <w:rFonts w:cs="Times New Roman"/>
                <w:color w:val="000000"/>
                <w:sz w:val="18"/>
                <w:szCs w:val="18"/>
              </w:rPr>
              <w:t>Not explicitly in TGS</w:t>
            </w:r>
          </w:p>
          <w:p w14:paraId="45834DE3" w14:textId="4AC42065" w:rsidR="00052B3F" w:rsidRPr="008F0BE0" w:rsidRDefault="00052B3F" w:rsidP="008F0BE0">
            <w:pPr>
              <w:rPr>
                <w:rFonts w:cs="Times New Roman"/>
                <w:sz w:val="18"/>
                <w:szCs w:val="18"/>
              </w:rPr>
            </w:pPr>
            <w:r w:rsidRPr="008F0BE0">
              <w:rPr>
                <w:rFonts w:cs="Times New Roman"/>
                <w:color w:val="000000"/>
                <w:sz w:val="18"/>
                <w:szCs w:val="18"/>
              </w:rPr>
              <w:t>Aligns with UBC</w:t>
            </w:r>
            <w:r w:rsidR="00027B17">
              <w:rPr>
                <w:rFonts w:cs="Times New Roman"/>
                <w:color w:val="000000"/>
                <w:sz w:val="18"/>
                <w:szCs w:val="18"/>
              </w:rPr>
              <w:t>’</w:t>
            </w:r>
            <w:r w:rsidRPr="008F0BE0">
              <w:rPr>
                <w:rFonts w:cs="Times New Roman"/>
                <w:color w:val="000000"/>
                <w:sz w:val="18"/>
                <w:szCs w:val="18"/>
              </w:rPr>
              <w:t>s adaptable building design principles</w:t>
            </w:r>
          </w:p>
        </w:tc>
      </w:tr>
      <w:tr w:rsidR="00052B3F" w:rsidRPr="008F0BE0" w14:paraId="5A1C6D27" w14:textId="77777777" w:rsidTr="008F0BE0">
        <w:tc>
          <w:tcPr>
            <w:tcW w:w="1696" w:type="dxa"/>
            <w:vMerge/>
          </w:tcPr>
          <w:p w14:paraId="6537B1B3" w14:textId="77777777" w:rsidR="00052B3F" w:rsidRPr="008F0BE0" w:rsidRDefault="00052B3F" w:rsidP="008F0BE0">
            <w:pPr>
              <w:rPr>
                <w:rFonts w:cs="Times New Roman"/>
                <w:sz w:val="18"/>
                <w:szCs w:val="18"/>
              </w:rPr>
            </w:pPr>
          </w:p>
        </w:tc>
        <w:tc>
          <w:tcPr>
            <w:tcW w:w="5103" w:type="dxa"/>
          </w:tcPr>
          <w:p w14:paraId="24A9009D" w14:textId="77777777" w:rsidR="00052B3F" w:rsidRPr="008F0BE0" w:rsidRDefault="00052B3F" w:rsidP="008F0BE0">
            <w:pPr>
              <w:pStyle w:val="ListParagraph"/>
              <w:numPr>
                <w:ilvl w:val="0"/>
                <w:numId w:val="53"/>
              </w:numPr>
              <w:spacing w:after="0" w:line="240" w:lineRule="auto"/>
              <w:ind w:left="318" w:hanging="279"/>
              <w:rPr>
                <w:rFonts w:cs="Times New Roman"/>
                <w:color w:val="000000"/>
                <w:sz w:val="18"/>
                <w:szCs w:val="18"/>
              </w:rPr>
            </w:pPr>
            <w:r w:rsidRPr="008F0BE0">
              <w:rPr>
                <w:rFonts w:cs="Times New Roman"/>
                <w:color w:val="000000"/>
                <w:sz w:val="18"/>
                <w:szCs w:val="18"/>
              </w:rPr>
              <w:t>Incorporate green roofs on 60% of available roof space</w:t>
            </w:r>
          </w:p>
          <w:p w14:paraId="02893FAF" w14:textId="77777777" w:rsidR="00052B3F" w:rsidRPr="008F0BE0" w:rsidRDefault="00052B3F" w:rsidP="008F0BE0">
            <w:pPr>
              <w:pStyle w:val="ListParagraph"/>
              <w:numPr>
                <w:ilvl w:val="0"/>
                <w:numId w:val="53"/>
              </w:numPr>
              <w:spacing w:after="0" w:line="240" w:lineRule="auto"/>
              <w:ind w:left="318" w:hanging="279"/>
              <w:rPr>
                <w:rFonts w:cs="Times New Roman"/>
                <w:sz w:val="18"/>
                <w:szCs w:val="18"/>
              </w:rPr>
            </w:pPr>
            <w:r w:rsidRPr="008F0BE0">
              <w:rPr>
                <w:rFonts w:cs="Times New Roman"/>
                <w:color w:val="000000"/>
                <w:sz w:val="18"/>
                <w:szCs w:val="18"/>
              </w:rPr>
              <w:t>Create bioswales or rain gardens to manage 80% of site stormwater</w:t>
            </w:r>
          </w:p>
        </w:tc>
        <w:tc>
          <w:tcPr>
            <w:tcW w:w="3261" w:type="dxa"/>
          </w:tcPr>
          <w:p w14:paraId="665CDC56" w14:textId="77777777" w:rsidR="00052B3F" w:rsidRPr="008F0BE0" w:rsidRDefault="00052B3F" w:rsidP="008F0BE0">
            <w:pPr>
              <w:rPr>
                <w:rFonts w:cs="Times New Roman"/>
                <w:color w:val="000000"/>
                <w:sz w:val="18"/>
                <w:szCs w:val="18"/>
              </w:rPr>
            </w:pPr>
            <w:r w:rsidRPr="008F0BE0">
              <w:rPr>
                <w:rFonts w:cs="Times New Roman"/>
                <w:color w:val="000000"/>
                <w:sz w:val="18"/>
                <w:szCs w:val="18"/>
              </w:rPr>
              <w:t>Aligns with TGS Tier 2 (which requires 60% green roof coverage)</w:t>
            </w:r>
          </w:p>
          <w:p w14:paraId="137DBF31" w14:textId="7D19EA83" w:rsidR="00052B3F" w:rsidRPr="008F0BE0" w:rsidRDefault="00052B3F" w:rsidP="008F0BE0">
            <w:pPr>
              <w:rPr>
                <w:rFonts w:cs="Times New Roman"/>
                <w:sz w:val="18"/>
                <w:szCs w:val="18"/>
              </w:rPr>
            </w:pPr>
            <w:r w:rsidRPr="008F0BE0">
              <w:rPr>
                <w:rFonts w:cs="Times New Roman"/>
                <w:color w:val="000000"/>
                <w:sz w:val="18"/>
                <w:szCs w:val="18"/>
              </w:rPr>
              <w:t>Aligns with U of T</w:t>
            </w:r>
            <w:r w:rsidR="00027B17">
              <w:rPr>
                <w:rFonts w:cs="Times New Roman"/>
                <w:color w:val="000000"/>
                <w:sz w:val="18"/>
                <w:szCs w:val="18"/>
              </w:rPr>
              <w:t>’</w:t>
            </w:r>
            <w:r w:rsidRPr="008F0BE0">
              <w:rPr>
                <w:rFonts w:cs="Times New Roman"/>
                <w:color w:val="000000"/>
                <w:sz w:val="18"/>
                <w:szCs w:val="18"/>
              </w:rPr>
              <w:t>s green infrastructure goals</w:t>
            </w:r>
          </w:p>
        </w:tc>
      </w:tr>
      <w:tr w:rsidR="00052B3F" w:rsidRPr="008F0BE0" w14:paraId="3ADF3ADD" w14:textId="77777777" w:rsidTr="008F0BE0">
        <w:tc>
          <w:tcPr>
            <w:tcW w:w="1696" w:type="dxa"/>
            <w:vMerge/>
          </w:tcPr>
          <w:p w14:paraId="0F944D68" w14:textId="77777777" w:rsidR="00052B3F" w:rsidRPr="008F0BE0" w:rsidRDefault="00052B3F" w:rsidP="008F0BE0">
            <w:pPr>
              <w:rPr>
                <w:rFonts w:cs="Times New Roman"/>
                <w:sz w:val="18"/>
                <w:szCs w:val="18"/>
              </w:rPr>
            </w:pPr>
          </w:p>
        </w:tc>
        <w:tc>
          <w:tcPr>
            <w:tcW w:w="5103" w:type="dxa"/>
          </w:tcPr>
          <w:p w14:paraId="476A5943" w14:textId="77777777" w:rsidR="00052B3F" w:rsidRPr="008F0BE0" w:rsidRDefault="00052B3F" w:rsidP="008F0BE0">
            <w:pPr>
              <w:pStyle w:val="ListParagraph"/>
              <w:numPr>
                <w:ilvl w:val="0"/>
                <w:numId w:val="54"/>
              </w:numPr>
              <w:spacing w:after="0" w:line="240" w:lineRule="auto"/>
              <w:ind w:left="318" w:hanging="279"/>
              <w:rPr>
                <w:rFonts w:cs="Times New Roman"/>
                <w:color w:val="000000"/>
                <w:sz w:val="18"/>
                <w:szCs w:val="18"/>
              </w:rPr>
            </w:pPr>
            <w:r w:rsidRPr="008F0BE0">
              <w:rPr>
                <w:rFonts w:cs="Times New Roman"/>
                <w:color w:val="000000"/>
                <w:sz w:val="18"/>
                <w:szCs w:val="18"/>
              </w:rPr>
              <w:t>Designate 10% of building area as refuge space with essential services</w:t>
            </w:r>
          </w:p>
          <w:p w14:paraId="55EF27F2" w14:textId="77777777" w:rsidR="00052B3F" w:rsidRPr="008F0BE0" w:rsidRDefault="00052B3F" w:rsidP="008F0BE0">
            <w:pPr>
              <w:pStyle w:val="ListParagraph"/>
              <w:numPr>
                <w:ilvl w:val="0"/>
                <w:numId w:val="54"/>
              </w:numPr>
              <w:spacing w:after="0" w:line="240" w:lineRule="auto"/>
              <w:ind w:left="318" w:hanging="279"/>
              <w:rPr>
                <w:rFonts w:cs="Times New Roman"/>
                <w:sz w:val="18"/>
                <w:szCs w:val="18"/>
              </w:rPr>
            </w:pPr>
            <w:r w:rsidRPr="008F0BE0">
              <w:rPr>
                <w:rFonts w:cs="Times New Roman"/>
                <w:color w:val="000000"/>
                <w:sz w:val="18"/>
                <w:szCs w:val="18"/>
              </w:rPr>
              <w:t>Install building management systems with remote monitoring and control capabilities</w:t>
            </w:r>
          </w:p>
        </w:tc>
        <w:tc>
          <w:tcPr>
            <w:tcW w:w="3261" w:type="dxa"/>
          </w:tcPr>
          <w:p w14:paraId="52DC4920"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w:t>
            </w:r>
          </w:p>
          <w:p w14:paraId="67EE4523" w14:textId="3E7F5A7F" w:rsidR="00052B3F" w:rsidRPr="008F0BE0" w:rsidRDefault="00052B3F" w:rsidP="008F0BE0">
            <w:pPr>
              <w:rPr>
                <w:rFonts w:cs="Times New Roman"/>
                <w:sz w:val="18"/>
                <w:szCs w:val="18"/>
              </w:rPr>
            </w:pPr>
            <w:r w:rsidRPr="008F0BE0">
              <w:rPr>
                <w:rFonts w:cs="Times New Roman"/>
                <w:color w:val="000000"/>
                <w:sz w:val="18"/>
                <w:szCs w:val="18"/>
              </w:rPr>
              <w:t>Aligns with U of T</w:t>
            </w:r>
            <w:r w:rsidR="00027B17">
              <w:rPr>
                <w:rFonts w:cs="Times New Roman"/>
                <w:color w:val="000000"/>
                <w:sz w:val="18"/>
                <w:szCs w:val="18"/>
              </w:rPr>
              <w:t>’</w:t>
            </w:r>
            <w:r w:rsidRPr="008F0BE0">
              <w:rPr>
                <w:rFonts w:cs="Times New Roman"/>
                <w:color w:val="000000"/>
                <w:sz w:val="18"/>
                <w:szCs w:val="18"/>
              </w:rPr>
              <w:t>s emergency preparedness standards</w:t>
            </w:r>
          </w:p>
        </w:tc>
      </w:tr>
      <w:tr w:rsidR="00052B3F" w:rsidRPr="008F0BE0" w14:paraId="0BE0DACC" w14:textId="77777777" w:rsidTr="008F0BE0">
        <w:tc>
          <w:tcPr>
            <w:tcW w:w="1696" w:type="dxa"/>
            <w:vMerge/>
          </w:tcPr>
          <w:p w14:paraId="20E20063" w14:textId="77777777" w:rsidR="00052B3F" w:rsidRPr="008F0BE0" w:rsidRDefault="00052B3F" w:rsidP="008F0BE0">
            <w:pPr>
              <w:rPr>
                <w:rFonts w:cs="Times New Roman"/>
                <w:sz w:val="18"/>
                <w:szCs w:val="18"/>
              </w:rPr>
            </w:pPr>
          </w:p>
        </w:tc>
        <w:tc>
          <w:tcPr>
            <w:tcW w:w="5103" w:type="dxa"/>
          </w:tcPr>
          <w:p w14:paraId="1935901D" w14:textId="77777777" w:rsidR="00052B3F" w:rsidRPr="008F0BE0" w:rsidRDefault="00052B3F" w:rsidP="008F0BE0">
            <w:pPr>
              <w:pStyle w:val="ListParagraph"/>
              <w:numPr>
                <w:ilvl w:val="0"/>
                <w:numId w:val="55"/>
              </w:numPr>
              <w:tabs>
                <w:tab w:val="left" w:pos="1119"/>
              </w:tabs>
              <w:spacing w:after="0" w:line="240" w:lineRule="auto"/>
              <w:ind w:left="318" w:hanging="279"/>
              <w:rPr>
                <w:rFonts w:cs="Times New Roman"/>
                <w:color w:val="000000"/>
                <w:sz w:val="18"/>
                <w:szCs w:val="18"/>
              </w:rPr>
            </w:pPr>
            <w:r w:rsidRPr="008F0BE0">
              <w:rPr>
                <w:rFonts w:cs="Times New Roman"/>
                <w:color w:val="000000"/>
                <w:sz w:val="18"/>
                <w:szCs w:val="18"/>
              </w:rPr>
              <w:t>Conduct climate change impact assessments for all new buildings and major renovations</w:t>
            </w:r>
          </w:p>
        </w:tc>
        <w:tc>
          <w:tcPr>
            <w:tcW w:w="3261" w:type="dxa"/>
          </w:tcPr>
          <w:p w14:paraId="36E65A37" w14:textId="77777777" w:rsidR="00052B3F" w:rsidRPr="008F0BE0" w:rsidRDefault="00052B3F" w:rsidP="008F0BE0">
            <w:pPr>
              <w:rPr>
                <w:rFonts w:cs="Times New Roman"/>
                <w:color w:val="000000"/>
                <w:sz w:val="18"/>
                <w:szCs w:val="18"/>
              </w:rPr>
            </w:pPr>
            <w:r w:rsidRPr="008F0BE0">
              <w:rPr>
                <w:rFonts w:cs="Times New Roman"/>
                <w:color w:val="000000"/>
                <w:sz w:val="18"/>
                <w:szCs w:val="18"/>
              </w:rPr>
              <w:t>Not explicitly in TGS</w:t>
            </w:r>
          </w:p>
          <w:p w14:paraId="3E1FB3DE"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most university standards</w:t>
            </w:r>
          </w:p>
          <w:p w14:paraId="614414DA" w14:textId="6ED34D08" w:rsidR="00052B3F" w:rsidRPr="008F0BE0" w:rsidRDefault="00052B3F" w:rsidP="008F0BE0">
            <w:pPr>
              <w:rPr>
                <w:rFonts w:cs="Times New Roman"/>
                <w:sz w:val="18"/>
                <w:szCs w:val="18"/>
              </w:rPr>
            </w:pPr>
            <w:r w:rsidRPr="008F0BE0">
              <w:rPr>
                <w:rFonts w:cs="Times New Roman"/>
                <w:color w:val="000000"/>
                <w:sz w:val="18"/>
                <w:szCs w:val="18"/>
              </w:rPr>
              <w:t>Aligns with UBC</w:t>
            </w:r>
            <w:r w:rsidR="00027B17">
              <w:rPr>
                <w:rFonts w:cs="Times New Roman"/>
                <w:color w:val="000000"/>
                <w:sz w:val="18"/>
                <w:szCs w:val="18"/>
              </w:rPr>
              <w:t>’</w:t>
            </w:r>
            <w:r w:rsidRPr="008F0BE0">
              <w:rPr>
                <w:rFonts w:cs="Times New Roman"/>
                <w:color w:val="000000"/>
                <w:sz w:val="18"/>
                <w:szCs w:val="18"/>
              </w:rPr>
              <w:t>s climate adaptation planning</w:t>
            </w:r>
          </w:p>
        </w:tc>
      </w:tr>
      <w:tr w:rsidR="00052B3F" w:rsidRPr="008F0BE0" w14:paraId="63E29F29" w14:textId="77777777" w:rsidTr="008F0BE0">
        <w:tc>
          <w:tcPr>
            <w:tcW w:w="1696" w:type="dxa"/>
            <w:vMerge w:val="restart"/>
          </w:tcPr>
          <w:p w14:paraId="4C36714A" w14:textId="77777777" w:rsidR="00052B3F" w:rsidRPr="008F0BE0" w:rsidRDefault="00052B3F" w:rsidP="008F0BE0">
            <w:pPr>
              <w:rPr>
                <w:rFonts w:cs="Times New Roman"/>
                <w:sz w:val="18"/>
                <w:szCs w:val="18"/>
              </w:rPr>
            </w:pPr>
            <w:r w:rsidRPr="008F0BE0">
              <w:rPr>
                <w:rFonts w:cs="Times New Roman"/>
                <w:sz w:val="18"/>
                <w:szCs w:val="18"/>
              </w:rPr>
              <w:t>Accessibility- Diversity, Equity, and Inclusion (DEI)</w:t>
            </w:r>
          </w:p>
        </w:tc>
        <w:tc>
          <w:tcPr>
            <w:tcW w:w="5103" w:type="dxa"/>
          </w:tcPr>
          <w:p w14:paraId="5FA51207" w14:textId="77777777" w:rsidR="00052B3F" w:rsidRPr="008F0BE0" w:rsidRDefault="00052B3F" w:rsidP="008F0BE0">
            <w:pPr>
              <w:rPr>
                <w:rFonts w:cs="Times New Roman"/>
                <w:color w:val="000000"/>
                <w:sz w:val="18"/>
                <w:szCs w:val="18"/>
              </w:rPr>
            </w:pPr>
            <w:r w:rsidRPr="008F0BE0">
              <w:rPr>
                <w:rFonts w:cs="Times New Roman"/>
                <w:color w:val="000000"/>
                <w:sz w:val="18"/>
                <w:szCs w:val="18"/>
              </w:rPr>
              <w:t>Provide barrier-free access to 100% of building entrances and public spaces</w:t>
            </w:r>
          </w:p>
        </w:tc>
        <w:tc>
          <w:tcPr>
            <w:tcW w:w="3261" w:type="dxa"/>
          </w:tcPr>
          <w:p w14:paraId="5AB170D5"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WELL Building Standard;</w:t>
            </w:r>
          </w:p>
          <w:p w14:paraId="6442707F"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requirements</w:t>
            </w:r>
          </w:p>
        </w:tc>
      </w:tr>
      <w:tr w:rsidR="00052B3F" w:rsidRPr="008F0BE0" w14:paraId="318AB0FC" w14:textId="77777777" w:rsidTr="008F0BE0">
        <w:tc>
          <w:tcPr>
            <w:tcW w:w="1696" w:type="dxa"/>
            <w:vMerge/>
          </w:tcPr>
          <w:p w14:paraId="0800DEBC" w14:textId="77777777" w:rsidR="00052B3F" w:rsidRPr="008F0BE0" w:rsidRDefault="00052B3F" w:rsidP="008F0BE0">
            <w:pPr>
              <w:rPr>
                <w:rFonts w:cs="Times New Roman"/>
                <w:sz w:val="18"/>
                <w:szCs w:val="18"/>
              </w:rPr>
            </w:pPr>
          </w:p>
        </w:tc>
        <w:tc>
          <w:tcPr>
            <w:tcW w:w="5103" w:type="dxa"/>
          </w:tcPr>
          <w:p w14:paraId="246D88EC" w14:textId="77777777" w:rsidR="00052B3F" w:rsidRPr="008F0BE0" w:rsidRDefault="00052B3F" w:rsidP="008F0BE0">
            <w:pPr>
              <w:rPr>
                <w:rFonts w:cs="Times New Roman"/>
                <w:color w:val="000000"/>
                <w:sz w:val="18"/>
                <w:szCs w:val="18"/>
              </w:rPr>
            </w:pPr>
            <w:r w:rsidRPr="008F0BE0">
              <w:rPr>
                <w:rFonts w:cs="Times New Roman"/>
                <w:color w:val="000000"/>
                <w:sz w:val="18"/>
                <w:szCs w:val="18"/>
              </w:rPr>
              <w:t>Implement wayfinding systems with multi-sensory cues (visual, auditory, tactile) throughout buildings</w:t>
            </w:r>
          </w:p>
        </w:tc>
        <w:tc>
          <w:tcPr>
            <w:tcW w:w="3261" w:type="dxa"/>
          </w:tcPr>
          <w:p w14:paraId="192A892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Rick Hansen Foundation Accessibility Certification;</w:t>
            </w:r>
          </w:p>
          <w:p w14:paraId="0FDD22BF"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AODA requirements</w:t>
            </w:r>
          </w:p>
        </w:tc>
      </w:tr>
      <w:tr w:rsidR="00052B3F" w:rsidRPr="008F0BE0" w14:paraId="3ADEA975" w14:textId="77777777" w:rsidTr="008F0BE0">
        <w:tc>
          <w:tcPr>
            <w:tcW w:w="1696" w:type="dxa"/>
            <w:vMerge/>
          </w:tcPr>
          <w:p w14:paraId="30B484D8" w14:textId="77777777" w:rsidR="00052B3F" w:rsidRPr="008F0BE0" w:rsidRDefault="00052B3F" w:rsidP="008F0BE0">
            <w:pPr>
              <w:rPr>
                <w:rFonts w:cs="Times New Roman"/>
                <w:sz w:val="18"/>
                <w:szCs w:val="18"/>
              </w:rPr>
            </w:pPr>
          </w:p>
        </w:tc>
        <w:tc>
          <w:tcPr>
            <w:tcW w:w="5103" w:type="dxa"/>
          </w:tcPr>
          <w:p w14:paraId="18592F62" w14:textId="77777777" w:rsidR="00052B3F" w:rsidRPr="008F0BE0" w:rsidRDefault="00052B3F" w:rsidP="008F0BE0">
            <w:pPr>
              <w:rPr>
                <w:rFonts w:cs="Times New Roman"/>
                <w:color w:val="000000"/>
                <w:sz w:val="18"/>
                <w:szCs w:val="18"/>
              </w:rPr>
            </w:pPr>
            <w:r w:rsidRPr="008F0BE0">
              <w:rPr>
                <w:rFonts w:cs="Times New Roman"/>
                <w:color w:val="000000"/>
                <w:sz w:val="18"/>
                <w:szCs w:val="18"/>
              </w:rPr>
              <w:t>Ensure all building control interfaces (e.g., thermostats, lighting controls) are accessible to people with various abilities</w:t>
            </w:r>
          </w:p>
        </w:tc>
        <w:tc>
          <w:tcPr>
            <w:tcW w:w="3261" w:type="dxa"/>
          </w:tcPr>
          <w:p w14:paraId="307B7F12"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WELL Building Standard;</w:t>
            </w:r>
          </w:p>
          <w:p w14:paraId="0CC69F6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LEED v4.1 requirements</w:t>
            </w:r>
          </w:p>
        </w:tc>
      </w:tr>
      <w:tr w:rsidR="00052B3F" w:rsidRPr="008F0BE0" w14:paraId="5ADA17D1" w14:textId="77777777" w:rsidTr="008F0BE0">
        <w:tc>
          <w:tcPr>
            <w:tcW w:w="1696" w:type="dxa"/>
            <w:vMerge/>
          </w:tcPr>
          <w:p w14:paraId="0B17C254" w14:textId="77777777" w:rsidR="00052B3F" w:rsidRPr="008F0BE0" w:rsidRDefault="00052B3F" w:rsidP="008F0BE0">
            <w:pPr>
              <w:rPr>
                <w:rFonts w:cs="Times New Roman"/>
                <w:sz w:val="18"/>
                <w:szCs w:val="18"/>
              </w:rPr>
            </w:pPr>
          </w:p>
        </w:tc>
        <w:tc>
          <w:tcPr>
            <w:tcW w:w="5103" w:type="dxa"/>
          </w:tcPr>
          <w:p w14:paraId="2986B54F" w14:textId="77777777" w:rsidR="00052B3F" w:rsidRPr="008F0BE0" w:rsidRDefault="00052B3F" w:rsidP="008F0BE0">
            <w:pPr>
              <w:rPr>
                <w:rFonts w:cs="Times New Roman"/>
                <w:color w:val="000000"/>
                <w:sz w:val="18"/>
                <w:szCs w:val="18"/>
              </w:rPr>
            </w:pPr>
            <w:r w:rsidRPr="008F0BE0">
              <w:rPr>
                <w:rFonts w:cs="Times New Roman"/>
                <w:color w:val="000000"/>
                <w:sz w:val="18"/>
                <w:szCs w:val="18"/>
              </w:rPr>
              <w:t>Design 25% of prayer/meditation spaces to accommodate diverse religious and cultural practices</w:t>
            </w:r>
          </w:p>
        </w:tc>
        <w:tc>
          <w:tcPr>
            <w:tcW w:w="3261" w:type="dxa"/>
          </w:tcPr>
          <w:p w14:paraId="2FE6524B" w14:textId="013E635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Harvard University</w:t>
            </w:r>
            <w:r w:rsidR="00027B17">
              <w:rPr>
                <w:rFonts w:cs="Times New Roman"/>
                <w:color w:val="000000" w:themeColor="text1"/>
                <w:sz w:val="18"/>
                <w:szCs w:val="18"/>
              </w:rPr>
              <w:t>’</w:t>
            </w:r>
            <w:r w:rsidRPr="008F0BE0">
              <w:rPr>
                <w:rFonts w:cs="Times New Roman"/>
                <w:color w:val="000000" w:themeColor="text1"/>
                <w:sz w:val="18"/>
                <w:szCs w:val="18"/>
              </w:rPr>
              <w:t xml:space="preserve">s inclusive design guidelines; </w:t>
            </w:r>
          </w:p>
          <w:p w14:paraId="31EFE2B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university standards</w:t>
            </w:r>
          </w:p>
        </w:tc>
      </w:tr>
      <w:tr w:rsidR="00052B3F" w:rsidRPr="008F0BE0" w14:paraId="5BE53A92" w14:textId="77777777" w:rsidTr="008F0BE0">
        <w:tc>
          <w:tcPr>
            <w:tcW w:w="1696" w:type="dxa"/>
            <w:vMerge/>
          </w:tcPr>
          <w:p w14:paraId="7BD09EBD" w14:textId="77777777" w:rsidR="00052B3F" w:rsidRPr="008F0BE0" w:rsidRDefault="00052B3F" w:rsidP="008F0BE0">
            <w:pPr>
              <w:rPr>
                <w:rFonts w:cs="Times New Roman"/>
                <w:sz w:val="18"/>
                <w:szCs w:val="18"/>
              </w:rPr>
            </w:pPr>
          </w:p>
        </w:tc>
        <w:tc>
          <w:tcPr>
            <w:tcW w:w="5103" w:type="dxa"/>
          </w:tcPr>
          <w:p w14:paraId="0D66B57E" w14:textId="77777777" w:rsidR="00052B3F" w:rsidRPr="008F0BE0" w:rsidRDefault="00052B3F" w:rsidP="008F0BE0">
            <w:pPr>
              <w:rPr>
                <w:rFonts w:cs="Times New Roman"/>
                <w:color w:val="000000"/>
                <w:sz w:val="18"/>
                <w:szCs w:val="18"/>
              </w:rPr>
            </w:pPr>
            <w:r w:rsidRPr="008F0BE0">
              <w:rPr>
                <w:rFonts w:cs="Times New Roman"/>
                <w:color w:val="000000"/>
                <w:sz w:val="18"/>
                <w:szCs w:val="18"/>
              </w:rPr>
              <w:t xml:space="preserve"> Include lactation rooms in all major academic and administrative buildings</w:t>
            </w:r>
          </w:p>
        </w:tc>
        <w:tc>
          <w:tcPr>
            <w:tcW w:w="3261" w:type="dxa"/>
          </w:tcPr>
          <w:p w14:paraId="384D6DED"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WELL Building Standard;</w:t>
            </w:r>
          </w:p>
          <w:p w14:paraId="0D7EFE0F"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university standards</w:t>
            </w:r>
          </w:p>
        </w:tc>
      </w:tr>
      <w:tr w:rsidR="00052B3F" w:rsidRPr="008F0BE0" w14:paraId="5D3F745B" w14:textId="77777777" w:rsidTr="008F0BE0">
        <w:tc>
          <w:tcPr>
            <w:tcW w:w="1696" w:type="dxa"/>
            <w:vMerge/>
          </w:tcPr>
          <w:p w14:paraId="0404EAEE" w14:textId="77777777" w:rsidR="00052B3F" w:rsidRPr="008F0BE0" w:rsidRDefault="00052B3F" w:rsidP="008F0BE0">
            <w:pPr>
              <w:rPr>
                <w:rFonts w:cs="Times New Roman"/>
                <w:sz w:val="18"/>
                <w:szCs w:val="18"/>
              </w:rPr>
            </w:pPr>
          </w:p>
        </w:tc>
        <w:tc>
          <w:tcPr>
            <w:tcW w:w="5103" w:type="dxa"/>
          </w:tcPr>
          <w:p w14:paraId="4BB5518D" w14:textId="77777777" w:rsidR="00052B3F" w:rsidRPr="008F0BE0" w:rsidRDefault="00052B3F" w:rsidP="008F0BE0">
            <w:pPr>
              <w:rPr>
                <w:rFonts w:cs="Times New Roman"/>
                <w:color w:val="000000"/>
                <w:sz w:val="18"/>
                <w:szCs w:val="18"/>
              </w:rPr>
            </w:pPr>
            <w:r w:rsidRPr="008F0BE0">
              <w:rPr>
                <w:rFonts w:cs="Times New Roman"/>
                <w:color w:val="000000"/>
                <w:sz w:val="18"/>
                <w:szCs w:val="18"/>
              </w:rPr>
              <w:t>Provide signage and wayfinding in multiple languages reflective of campus diversity</w:t>
            </w:r>
          </w:p>
        </w:tc>
        <w:tc>
          <w:tcPr>
            <w:tcW w:w="3261" w:type="dxa"/>
          </w:tcPr>
          <w:p w14:paraId="060664B2" w14:textId="2AE682AD"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University of Toronto</w:t>
            </w:r>
            <w:r w:rsidR="00027B17">
              <w:rPr>
                <w:rFonts w:cs="Times New Roman"/>
                <w:color w:val="000000" w:themeColor="text1"/>
                <w:sz w:val="18"/>
                <w:szCs w:val="18"/>
              </w:rPr>
              <w:t>’</w:t>
            </w:r>
            <w:r w:rsidRPr="008F0BE0">
              <w:rPr>
                <w:rFonts w:cs="Times New Roman"/>
                <w:color w:val="000000" w:themeColor="text1"/>
                <w:sz w:val="18"/>
                <w:szCs w:val="18"/>
              </w:rPr>
              <w:t>s multilingual signage initiative;</w:t>
            </w:r>
          </w:p>
          <w:p w14:paraId="3E51A54E"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university standards</w:t>
            </w:r>
          </w:p>
        </w:tc>
      </w:tr>
      <w:tr w:rsidR="00052B3F" w:rsidRPr="008F0BE0" w14:paraId="38D5210D" w14:textId="77777777" w:rsidTr="008F0BE0">
        <w:tc>
          <w:tcPr>
            <w:tcW w:w="1696" w:type="dxa"/>
            <w:vMerge/>
          </w:tcPr>
          <w:p w14:paraId="665FAAC9" w14:textId="77777777" w:rsidR="00052B3F" w:rsidRPr="008F0BE0" w:rsidRDefault="00052B3F" w:rsidP="008F0BE0">
            <w:pPr>
              <w:rPr>
                <w:rFonts w:cs="Times New Roman"/>
                <w:sz w:val="18"/>
                <w:szCs w:val="18"/>
              </w:rPr>
            </w:pPr>
          </w:p>
        </w:tc>
        <w:tc>
          <w:tcPr>
            <w:tcW w:w="5103" w:type="dxa"/>
          </w:tcPr>
          <w:p w14:paraId="7F27D827" w14:textId="77777777" w:rsidR="00052B3F" w:rsidRPr="008F0BE0" w:rsidRDefault="00052B3F" w:rsidP="008F0BE0">
            <w:pPr>
              <w:rPr>
                <w:rFonts w:cs="Times New Roman"/>
                <w:color w:val="000000"/>
                <w:sz w:val="18"/>
                <w:szCs w:val="18"/>
              </w:rPr>
            </w:pPr>
            <w:r w:rsidRPr="008F0BE0">
              <w:rPr>
                <w:rFonts w:cs="Times New Roman"/>
                <w:color w:val="000000"/>
                <w:sz w:val="18"/>
                <w:szCs w:val="18"/>
              </w:rPr>
              <w:t>Mandate that at least 10% of construction workforce hours be performed by apprentices from underrepresented groups</w:t>
            </w:r>
          </w:p>
        </w:tc>
        <w:tc>
          <w:tcPr>
            <w:tcW w:w="3261" w:type="dxa"/>
          </w:tcPr>
          <w:p w14:paraId="369C4907" w14:textId="113318AB"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Infrastructure Canada</w:t>
            </w:r>
            <w:r w:rsidR="00027B17">
              <w:rPr>
                <w:rFonts w:cs="Times New Roman"/>
                <w:color w:val="000000" w:themeColor="text1"/>
                <w:sz w:val="18"/>
                <w:szCs w:val="18"/>
              </w:rPr>
              <w:t>’</w:t>
            </w:r>
            <w:r w:rsidRPr="008F0BE0">
              <w:rPr>
                <w:rFonts w:cs="Times New Roman"/>
                <w:color w:val="000000" w:themeColor="text1"/>
                <w:sz w:val="18"/>
                <w:szCs w:val="18"/>
              </w:rPr>
              <w:t>s Community Employment Benefits Initiative;</w:t>
            </w:r>
          </w:p>
          <w:p w14:paraId="24AA6AEF"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university standards</w:t>
            </w:r>
          </w:p>
        </w:tc>
      </w:tr>
      <w:tr w:rsidR="00052B3F" w:rsidRPr="008F0BE0" w14:paraId="3724A3E4" w14:textId="77777777" w:rsidTr="008F0BE0">
        <w:tc>
          <w:tcPr>
            <w:tcW w:w="1696" w:type="dxa"/>
            <w:vMerge/>
          </w:tcPr>
          <w:p w14:paraId="6361BB79" w14:textId="77777777" w:rsidR="00052B3F" w:rsidRPr="008F0BE0" w:rsidRDefault="00052B3F" w:rsidP="008F0BE0">
            <w:pPr>
              <w:rPr>
                <w:rFonts w:cs="Times New Roman"/>
                <w:sz w:val="18"/>
                <w:szCs w:val="18"/>
              </w:rPr>
            </w:pPr>
          </w:p>
        </w:tc>
        <w:tc>
          <w:tcPr>
            <w:tcW w:w="5103" w:type="dxa"/>
          </w:tcPr>
          <w:p w14:paraId="3762034C" w14:textId="77777777" w:rsidR="00052B3F" w:rsidRPr="008F0BE0" w:rsidRDefault="00052B3F" w:rsidP="008F0BE0">
            <w:pPr>
              <w:rPr>
                <w:rFonts w:cs="Times New Roman"/>
                <w:color w:val="000000"/>
                <w:sz w:val="18"/>
                <w:szCs w:val="18"/>
              </w:rPr>
            </w:pPr>
            <w:r w:rsidRPr="008F0BE0">
              <w:rPr>
                <w:rFonts w:cs="Times New Roman"/>
                <w:color w:val="000000"/>
                <w:sz w:val="18"/>
                <w:szCs w:val="18"/>
              </w:rPr>
              <w:t>Conduct annual accessibility and inclusion audits of all buildings, with results publicly reported</w:t>
            </w:r>
          </w:p>
        </w:tc>
        <w:tc>
          <w:tcPr>
            <w:tcW w:w="3261" w:type="dxa"/>
          </w:tcPr>
          <w:p w14:paraId="46255B7E"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Rick Hansen Foundation Accessibility Certification;</w:t>
            </w:r>
          </w:p>
          <w:p w14:paraId="2233C54B"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AODA requirements</w:t>
            </w:r>
          </w:p>
        </w:tc>
      </w:tr>
      <w:tr w:rsidR="00052B3F" w:rsidRPr="008F0BE0" w14:paraId="5451169C" w14:textId="77777777" w:rsidTr="008F0BE0">
        <w:tc>
          <w:tcPr>
            <w:tcW w:w="1696" w:type="dxa"/>
            <w:vMerge/>
          </w:tcPr>
          <w:p w14:paraId="13B02CE9" w14:textId="77777777" w:rsidR="00052B3F" w:rsidRPr="008F0BE0" w:rsidRDefault="00052B3F" w:rsidP="008F0BE0">
            <w:pPr>
              <w:rPr>
                <w:rFonts w:cs="Times New Roman"/>
                <w:sz w:val="18"/>
                <w:szCs w:val="18"/>
              </w:rPr>
            </w:pPr>
          </w:p>
        </w:tc>
        <w:tc>
          <w:tcPr>
            <w:tcW w:w="5103" w:type="dxa"/>
          </w:tcPr>
          <w:p w14:paraId="68B79A45" w14:textId="77777777" w:rsidR="00052B3F" w:rsidRPr="008F0BE0" w:rsidRDefault="00052B3F" w:rsidP="008F0BE0">
            <w:pPr>
              <w:rPr>
                <w:rFonts w:cs="Times New Roman"/>
                <w:color w:val="000000"/>
                <w:sz w:val="18"/>
                <w:szCs w:val="18"/>
              </w:rPr>
            </w:pPr>
            <w:r w:rsidRPr="008F0BE0">
              <w:rPr>
                <w:rFonts w:cs="Times New Roman"/>
                <w:color w:val="000000"/>
                <w:sz w:val="18"/>
                <w:szCs w:val="18"/>
              </w:rPr>
              <w:t>Implement a feedback system for building users to report accessibility issues or suggest inclusivity improvements</w:t>
            </w:r>
          </w:p>
        </w:tc>
        <w:tc>
          <w:tcPr>
            <w:tcW w:w="3261" w:type="dxa"/>
          </w:tcPr>
          <w:p w14:paraId="66A628A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WELL Building Standard;</w:t>
            </w:r>
          </w:p>
          <w:p w14:paraId="0F734600"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university standards</w:t>
            </w:r>
          </w:p>
        </w:tc>
      </w:tr>
      <w:tr w:rsidR="00052B3F" w:rsidRPr="008F0BE0" w14:paraId="3A0DA584" w14:textId="77777777" w:rsidTr="008F0BE0">
        <w:tc>
          <w:tcPr>
            <w:tcW w:w="1696" w:type="dxa"/>
            <w:vMerge/>
          </w:tcPr>
          <w:p w14:paraId="45DD49BF" w14:textId="77777777" w:rsidR="00052B3F" w:rsidRPr="008F0BE0" w:rsidRDefault="00052B3F" w:rsidP="008F0BE0">
            <w:pPr>
              <w:rPr>
                <w:rFonts w:cs="Times New Roman"/>
                <w:sz w:val="18"/>
                <w:szCs w:val="18"/>
              </w:rPr>
            </w:pPr>
          </w:p>
        </w:tc>
        <w:tc>
          <w:tcPr>
            <w:tcW w:w="5103" w:type="dxa"/>
          </w:tcPr>
          <w:p w14:paraId="5562ED84" w14:textId="77777777" w:rsidR="00052B3F" w:rsidRPr="008F0BE0" w:rsidRDefault="00052B3F" w:rsidP="008F0BE0">
            <w:pPr>
              <w:rPr>
                <w:rFonts w:cs="Times New Roman"/>
                <w:color w:val="000000"/>
                <w:sz w:val="18"/>
                <w:szCs w:val="18"/>
              </w:rPr>
            </w:pPr>
            <w:r w:rsidRPr="008F0BE0">
              <w:rPr>
                <w:rFonts w:cs="Times New Roman"/>
                <w:color w:val="000000"/>
                <w:sz w:val="18"/>
                <w:szCs w:val="18"/>
              </w:rPr>
              <w:t>Conduct post-occupancy evaluations that specifically assess the experiences of diverse user groups</w:t>
            </w:r>
          </w:p>
        </w:tc>
        <w:tc>
          <w:tcPr>
            <w:tcW w:w="3261" w:type="dxa"/>
          </w:tcPr>
          <w:p w14:paraId="4F3EC595"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Aligns with LEED v4.1 Social Equity within the Community credit;</w:t>
            </w:r>
          </w:p>
          <w:p w14:paraId="362EBCCC" w14:textId="77777777" w:rsidR="00052B3F" w:rsidRPr="008F0BE0" w:rsidRDefault="00052B3F" w:rsidP="008F0BE0">
            <w:pPr>
              <w:rPr>
                <w:rFonts w:cs="Times New Roman"/>
                <w:color w:val="000000" w:themeColor="text1"/>
                <w:sz w:val="18"/>
                <w:szCs w:val="18"/>
              </w:rPr>
            </w:pPr>
            <w:r w:rsidRPr="008F0BE0">
              <w:rPr>
                <w:rFonts w:cs="Times New Roman"/>
                <w:color w:val="000000" w:themeColor="text1"/>
                <w:sz w:val="18"/>
                <w:szCs w:val="18"/>
              </w:rPr>
              <w:t>Exceeds typical university standards</w:t>
            </w:r>
          </w:p>
        </w:tc>
      </w:tr>
      <w:tr w:rsidR="00052B3F" w:rsidRPr="008F0BE0" w14:paraId="1C441642" w14:textId="77777777" w:rsidTr="008F0BE0">
        <w:tc>
          <w:tcPr>
            <w:tcW w:w="1696" w:type="dxa"/>
            <w:vMerge w:val="restart"/>
          </w:tcPr>
          <w:p w14:paraId="389396C4" w14:textId="77777777" w:rsidR="00052B3F" w:rsidRPr="008F0BE0" w:rsidRDefault="00052B3F" w:rsidP="008F0BE0">
            <w:pPr>
              <w:rPr>
                <w:rFonts w:cs="Times New Roman"/>
                <w:sz w:val="18"/>
                <w:szCs w:val="18"/>
              </w:rPr>
            </w:pPr>
            <w:r w:rsidRPr="008F0BE0">
              <w:rPr>
                <w:rFonts w:cs="Times New Roman"/>
                <w:sz w:val="18"/>
                <w:szCs w:val="18"/>
              </w:rPr>
              <w:t>Occupant Health and Wellbeing</w:t>
            </w:r>
          </w:p>
          <w:p w14:paraId="110BA091" w14:textId="77777777" w:rsidR="00052B3F" w:rsidRPr="008F0BE0" w:rsidRDefault="00052B3F" w:rsidP="008F0BE0">
            <w:pPr>
              <w:rPr>
                <w:rFonts w:cs="Times New Roman"/>
                <w:sz w:val="18"/>
                <w:szCs w:val="18"/>
              </w:rPr>
            </w:pPr>
          </w:p>
        </w:tc>
        <w:tc>
          <w:tcPr>
            <w:tcW w:w="5103" w:type="dxa"/>
          </w:tcPr>
          <w:p w14:paraId="061B9978" w14:textId="77777777" w:rsidR="00052B3F" w:rsidRPr="008F0BE0" w:rsidRDefault="00052B3F" w:rsidP="008F0BE0">
            <w:pPr>
              <w:pStyle w:val="ListParagraph"/>
              <w:numPr>
                <w:ilvl w:val="0"/>
                <w:numId w:val="56"/>
              </w:numPr>
              <w:tabs>
                <w:tab w:val="left" w:pos="39"/>
              </w:tabs>
              <w:spacing w:after="0" w:line="240" w:lineRule="auto"/>
              <w:ind w:left="323" w:hanging="284"/>
              <w:rPr>
                <w:rFonts w:cs="Times New Roman"/>
                <w:color w:val="000000"/>
                <w:sz w:val="18"/>
                <w:szCs w:val="18"/>
              </w:rPr>
            </w:pPr>
            <w:r w:rsidRPr="008F0BE0">
              <w:rPr>
                <w:rFonts w:cs="Times New Roman"/>
                <w:color w:val="000000"/>
                <w:sz w:val="18"/>
                <w:szCs w:val="18"/>
              </w:rPr>
              <w:t>Provide at least one open staircase servicing all floors, located physically and/or visibly before elevators</w:t>
            </w:r>
          </w:p>
          <w:p w14:paraId="6BDB4C4F" w14:textId="77777777" w:rsidR="00052B3F" w:rsidRPr="008F0BE0" w:rsidRDefault="00052B3F" w:rsidP="008F0BE0">
            <w:pPr>
              <w:pStyle w:val="ListParagraph"/>
              <w:numPr>
                <w:ilvl w:val="0"/>
                <w:numId w:val="56"/>
              </w:numPr>
              <w:tabs>
                <w:tab w:val="left" w:pos="39"/>
              </w:tabs>
              <w:spacing w:after="0" w:line="240" w:lineRule="auto"/>
              <w:ind w:left="323" w:hanging="284"/>
              <w:rPr>
                <w:rFonts w:cs="Times New Roman"/>
                <w:sz w:val="18"/>
                <w:szCs w:val="18"/>
              </w:rPr>
            </w:pPr>
            <w:r w:rsidRPr="008F0BE0">
              <w:rPr>
                <w:rFonts w:cs="Times New Roman"/>
                <w:color w:val="000000"/>
                <w:sz w:val="18"/>
                <w:szCs w:val="18"/>
              </w:rPr>
              <w:t>Include aesthetic design elements in staircases (e.g., artwork, natural elements, music)</w:t>
            </w:r>
          </w:p>
        </w:tc>
        <w:tc>
          <w:tcPr>
            <w:tcW w:w="3261" w:type="dxa"/>
          </w:tcPr>
          <w:p w14:paraId="570B69FC"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w:t>
            </w:r>
          </w:p>
          <w:p w14:paraId="6BEDC8FA" w14:textId="77777777" w:rsidR="00052B3F" w:rsidRPr="008F0BE0" w:rsidRDefault="00052B3F" w:rsidP="008F0BE0">
            <w:pPr>
              <w:rPr>
                <w:rFonts w:cs="Times New Roman"/>
                <w:sz w:val="18"/>
                <w:szCs w:val="18"/>
              </w:rPr>
            </w:pPr>
            <w:r w:rsidRPr="008F0BE0">
              <w:rPr>
                <w:rFonts w:cs="Times New Roman"/>
                <w:color w:val="000000"/>
                <w:sz w:val="18"/>
                <w:szCs w:val="18"/>
              </w:rPr>
              <w:t>Aligns with Humber College standards</w:t>
            </w:r>
          </w:p>
        </w:tc>
      </w:tr>
      <w:tr w:rsidR="00052B3F" w:rsidRPr="008F0BE0" w14:paraId="7E5B0406" w14:textId="77777777" w:rsidTr="008F0BE0">
        <w:tc>
          <w:tcPr>
            <w:tcW w:w="1696" w:type="dxa"/>
            <w:vMerge/>
          </w:tcPr>
          <w:p w14:paraId="7B16AA21" w14:textId="77777777" w:rsidR="00052B3F" w:rsidRPr="008F0BE0" w:rsidRDefault="00052B3F" w:rsidP="008F0BE0">
            <w:pPr>
              <w:rPr>
                <w:rFonts w:cs="Times New Roman"/>
                <w:sz w:val="18"/>
                <w:szCs w:val="18"/>
              </w:rPr>
            </w:pPr>
          </w:p>
        </w:tc>
        <w:tc>
          <w:tcPr>
            <w:tcW w:w="5103" w:type="dxa"/>
          </w:tcPr>
          <w:p w14:paraId="2F89B11F" w14:textId="77777777" w:rsidR="00052B3F" w:rsidRPr="008F0BE0" w:rsidRDefault="00052B3F" w:rsidP="008F0BE0">
            <w:pPr>
              <w:tabs>
                <w:tab w:val="left" w:pos="39"/>
              </w:tabs>
              <w:ind w:left="323" w:hanging="284"/>
              <w:rPr>
                <w:rFonts w:cs="Times New Roman"/>
                <w:color w:val="000000"/>
                <w:sz w:val="18"/>
                <w:szCs w:val="18"/>
              </w:rPr>
            </w:pPr>
            <w:r w:rsidRPr="008F0BE0">
              <w:rPr>
                <w:rFonts w:cs="Times New Roman"/>
                <w:color w:val="000000"/>
                <w:sz w:val="18"/>
                <w:szCs w:val="18"/>
              </w:rPr>
              <w:t>Incorporate plants, nature views, and natural materials in common spaces and include design elements that celebrate culture and place</w:t>
            </w:r>
          </w:p>
        </w:tc>
        <w:tc>
          <w:tcPr>
            <w:tcW w:w="3261" w:type="dxa"/>
          </w:tcPr>
          <w:p w14:paraId="505CB2ED" w14:textId="77777777" w:rsidR="00052B3F" w:rsidRPr="008F0BE0" w:rsidRDefault="00052B3F" w:rsidP="008F0BE0">
            <w:pPr>
              <w:rPr>
                <w:rFonts w:cs="Times New Roman"/>
                <w:color w:val="000000"/>
                <w:sz w:val="18"/>
                <w:szCs w:val="18"/>
              </w:rPr>
            </w:pPr>
            <w:r w:rsidRPr="008F0BE0">
              <w:rPr>
                <w:rFonts w:cs="Times New Roman"/>
                <w:color w:val="000000"/>
                <w:sz w:val="18"/>
                <w:szCs w:val="18"/>
              </w:rPr>
              <w:t>Aligns with TGS Tier 2</w:t>
            </w:r>
          </w:p>
          <w:p w14:paraId="0F48FE93" w14:textId="77777777" w:rsidR="00052B3F" w:rsidRPr="008F0BE0" w:rsidRDefault="00052B3F" w:rsidP="008F0BE0">
            <w:pPr>
              <w:rPr>
                <w:rFonts w:cs="Times New Roman"/>
                <w:sz w:val="18"/>
                <w:szCs w:val="18"/>
              </w:rPr>
            </w:pPr>
            <w:r w:rsidRPr="008F0BE0">
              <w:rPr>
                <w:rFonts w:cs="Times New Roman"/>
                <w:color w:val="000000"/>
                <w:sz w:val="18"/>
                <w:szCs w:val="18"/>
              </w:rPr>
              <w:t>Aligns with Humber College standards</w:t>
            </w:r>
          </w:p>
        </w:tc>
      </w:tr>
      <w:tr w:rsidR="00052B3F" w:rsidRPr="008F0BE0" w14:paraId="65B974B4" w14:textId="77777777" w:rsidTr="008F0BE0">
        <w:tc>
          <w:tcPr>
            <w:tcW w:w="1696" w:type="dxa"/>
            <w:vMerge/>
          </w:tcPr>
          <w:p w14:paraId="04B643FB" w14:textId="77777777" w:rsidR="00052B3F" w:rsidRPr="008F0BE0" w:rsidRDefault="00052B3F" w:rsidP="008F0BE0">
            <w:pPr>
              <w:rPr>
                <w:rFonts w:cs="Times New Roman"/>
                <w:sz w:val="18"/>
                <w:szCs w:val="18"/>
              </w:rPr>
            </w:pPr>
          </w:p>
        </w:tc>
        <w:tc>
          <w:tcPr>
            <w:tcW w:w="5103" w:type="dxa"/>
          </w:tcPr>
          <w:p w14:paraId="5F5AB9F1" w14:textId="77777777" w:rsidR="00052B3F" w:rsidRPr="008F0BE0" w:rsidRDefault="00052B3F" w:rsidP="008F0BE0">
            <w:pPr>
              <w:pStyle w:val="ListParagraph"/>
              <w:numPr>
                <w:ilvl w:val="0"/>
                <w:numId w:val="57"/>
              </w:numPr>
              <w:tabs>
                <w:tab w:val="left" w:pos="39"/>
              </w:tabs>
              <w:spacing w:after="0" w:line="240" w:lineRule="auto"/>
              <w:ind w:left="323" w:hanging="284"/>
              <w:rPr>
                <w:rFonts w:cs="Times New Roman"/>
                <w:color w:val="000000"/>
                <w:sz w:val="18"/>
                <w:szCs w:val="18"/>
              </w:rPr>
            </w:pPr>
            <w:r w:rsidRPr="008F0BE0">
              <w:rPr>
                <w:rFonts w:cs="Times New Roman"/>
                <w:color w:val="000000"/>
                <w:sz w:val="18"/>
                <w:szCs w:val="18"/>
              </w:rPr>
              <w:t>Install MERV 13 filters for RTUs and MERV 14 filters for AHUs and DOASs</w:t>
            </w:r>
          </w:p>
          <w:p w14:paraId="369C3083" w14:textId="77777777" w:rsidR="00052B3F" w:rsidRPr="008F0BE0" w:rsidRDefault="00052B3F" w:rsidP="008F0BE0">
            <w:pPr>
              <w:pStyle w:val="ListParagraph"/>
              <w:numPr>
                <w:ilvl w:val="0"/>
                <w:numId w:val="57"/>
              </w:numPr>
              <w:tabs>
                <w:tab w:val="left" w:pos="39"/>
              </w:tabs>
              <w:spacing w:after="0" w:line="240" w:lineRule="auto"/>
              <w:ind w:left="323" w:hanging="284"/>
              <w:rPr>
                <w:rFonts w:cs="Times New Roman"/>
                <w:sz w:val="18"/>
                <w:szCs w:val="18"/>
              </w:rPr>
            </w:pPr>
            <w:r w:rsidRPr="008F0BE0">
              <w:rPr>
                <w:rFonts w:cs="Times New Roman"/>
                <w:color w:val="000000"/>
                <w:sz w:val="18"/>
                <w:szCs w:val="18"/>
              </w:rPr>
              <w:t>Design entryway systems with 3m long walk-off mats</w:t>
            </w:r>
          </w:p>
        </w:tc>
        <w:tc>
          <w:tcPr>
            <w:tcW w:w="3261" w:type="dxa"/>
          </w:tcPr>
          <w:p w14:paraId="20FDE2E4"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 (which requires MERV 13)</w:t>
            </w:r>
          </w:p>
          <w:p w14:paraId="46F5FB60" w14:textId="77777777" w:rsidR="00052B3F" w:rsidRPr="008F0BE0" w:rsidRDefault="00052B3F" w:rsidP="008F0BE0">
            <w:pPr>
              <w:rPr>
                <w:rFonts w:cs="Times New Roman"/>
                <w:sz w:val="18"/>
                <w:szCs w:val="18"/>
              </w:rPr>
            </w:pPr>
            <w:r w:rsidRPr="008F0BE0">
              <w:rPr>
                <w:rFonts w:cs="Times New Roman"/>
                <w:color w:val="000000"/>
                <w:sz w:val="18"/>
                <w:szCs w:val="18"/>
              </w:rPr>
              <w:lastRenderedPageBreak/>
              <w:t>Aligns with U of T standards</w:t>
            </w:r>
          </w:p>
        </w:tc>
      </w:tr>
      <w:tr w:rsidR="00052B3F" w:rsidRPr="008F0BE0" w14:paraId="52706E32" w14:textId="77777777" w:rsidTr="008F0BE0">
        <w:tc>
          <w:tcPr>
            <w:tcW w:w="1696" w:type="dxa"/>
            <w:vMerge/>
          </w:tcPr>
          <w:p w14:paraId="16BF0DA3" w14:textId="77777777" w:rsidR="00052B3F" w:rsidRPr="008F0BE0" w:rsidRDefault="00052B3F" w:rsidP="008F0BE0">
            <w:pPr>
              <w:rPr>
                <w:rFonts w:cs="Times New Roman"/>
                <w:sz w:val="18"/>
                <w:szCs w:val="18"/>
              </w:rPr>
            </w:pPr>
          </w:p>
        </w:tc>
        <w:tc>
          <w:tcPr>
            <w:tcW w:w="5103" w:type="dxa"/>
          </w:tcPr>
          <w:p w14:paraId="3A7ADD70" w14:textId="77777777" w:rsidR="00052B3F" w:rsidRPr="008F0BE0" w:rsidRDefault="00052B3F" w:rsidP="008F0BE0">
            <w:pPr>
              <w:tabs>
                <w:tab w:val="left" w:pos="39"/>
              </w:tabs>
              <w:ind w:left="323" w:hanging="284"/>
              <w:rPr>
                <w:rFonts w:cs="Times New Roman"/>
                <w:sz w:val="18"/>
                <w:szCs w:val="18"/>
              </w:rPr>
            </w:pPr>
            <w:r w:rsidRPr="008F0BE0">
              <w:rPr>
                <w:rFonts w:cs="Times New Roman"/>
                <w:color w:val="000000"/>
                <w:sz w:val="18"/>
                <w:szCs w:val="18"/>
              </w:rPr>
              <w:t>Provide adjustable workstation seating (height, depth, backrest, armrest)</w:t>
            </w:r>
          </w:p>
        </w:tc>
        <w:tc>
          <w:tcPr>
            <w:tcW w:w="3261" w:type="dxa"/>
          </w:tcPr>
          <w:p w14:paraId="168DE682" w14:textId="77777777" w:rsidR="00052B3F" w:rsidRPr="008F0BE0" w:rsidRDefault="00052B3F" w:rsidP="008F0BE0">
            <w:pPr>
              <w:rPr>
                <w:rFonts w:cs="Times New Roman"/>
                <w:color w:val="000000"/>
                <w:sz w:val="18"/>
                <w:szCs w:val="18"/>
              </w:rPr>
            </w:pPr>
            <w:r w:rsidRPr="008F0BE0">
              <w:rPr>
                <w:rFonts w:cs="Times New Roman"/>
                <w:color w:val="000000"/>
                <w:sz w:val="18"/>
                <w:szCs w:val="18"/>
              </w:rPr>
              <w:t>Not explicitly in TGS</w:t>
            </w:r>
          </w:p>
          <w:p w14:paraId="5CD0D461" w14:textId="77777777" w:rsidR="00052B3F" w:rsidRPr="008F0BE0" w:rsidRDefault="00052B3F" w:rsidP="008F0BE0">
            <w:pPr>
              <w:rPr>
                <w:rFonts w:cs="Times New Roman"/>
                <w:sz w:val="18"/>
                <w:szCs w:val="18"/>
              </w:rPr>
            </w:pPr>
            <w:r w:rsidRPr="008F0BE0">
              <w:rPr>
                <w:rFonts w:cs="Times New Roman"/>
                <w:color w:val="000000"/>
                <w:sz w:val="18"/>
                <w:szCs w:val="18"/>
              </w:rPr>
              <w:t>Aligns with Humber College standards</w:t>
            </w:r>
          </w:p>
        </w:tc>
      </w:tr>
      <w:tr w:rsidR="00052B3F" w:rsidRPr="008F0BE0" w14:paraId="36A4A7DF" w14:textId="77777777" w:rsidTr="008F0BE0">
        <w:tc>
          <w:tcPr>
            <w:tcW w:w="1696" w:type="dxa"/>
            <w:vMerge/>
          </w:tcPr>
          <w:p w14:paraId="3E404FA7" w14:textId="77777777" w:rsidR="00052B3F" w:rsidRPr="008F0BE0" w:rsidRDefault="00052B3F" w:rsidP="008F0BE0">
            <w:pPr>
              <w:rPr>
                <w:rFonts w:cs="Times New Roman"/>
                <w:sz w:val="18"/>
                <w:szCs w:val="18"/>
              </w:rPr>
            </w:pPr>
          </w:p>
        </w:tc>
        <w:tc>
          <w:tcPr>
            <w:tcW w:w="5103" w:type="dxa"/>
          </w:tcPr>
          <w:p w14:paraId="443C8B31" w14:textId="77777777" w:rsidR="00052B3F" w:rsidRPr="008F0BE0" w:rsidRDefault="00052B3F" w:rsidP="008F0BE0">
            <w:pPr>
              <w:pStyle w:val="ListParagraph"/>
              <w:numPr>
                <w:ilvl w:val="0"/>
                <w:numId w:val="58"/>
              </w:numPr>
              <w:tabs>
                <w:tab w:val="left" w:pos="39"/>
              </w:tabs>
              <w:spacing w:after="0" w:line="240" w:lineRule="auto"/>
              <w:ind w:left="323" w:hanging="284"/>
              <w:rPr>
                <w:rFonts w:cs="Times New Roman"/>
                <w:color w:val="000000"/>
                <w:sz w:val="18"/>
                <w:szCs w:val="18"/>
              </w:rPr>
            </w:pPr>
            <w:r w:rsidRPr="008F0BE0">
              <w:rPr>
                <w:rFonts w:cs="Times New Roman"/>
                <w:color w:val="000000"/>
                <w:sz w:val="18"/>
                <w:szCs w:val="18"/>
              </w:rPr>
              <w:t>Ensure 80% of regularly occupied spaces are within ASHRAE Standard 55-2017 comfort ranges</w:t>
            </w:r>
          </w:p>
          <w:p w14:paraId="61B4A240" w14:textId="77777777" w:rsidR="00052B3F" w:rsidRPr="008F0BE0" w:rsidRDefault="00052B3F" w:rsidP="008F0BE0">
            <w:pPr>
              <w:pStyle w:val="ListParagraph"/>
              <w:numPr>
                <w:ilvl w:val="0"/>
                <w:numId w:val="58"/>
              </w:numPr>
              <w:tabs>
                <w:tab w:val="left" w:pos="39"/>
              </w:tabs>
              <w:spacing w:after="0" w:line="240" w:lineRule="auto"/>
              <w:ind w:left="323" w:hanging="284"/>
              <w:rPr>
                <w:rFonts w:cs="Times New Roman"/>
                <w:sz w:val="18"/>
                <w:szCs w:val="18"/>
              </w:rPr>
            </w:pPr>
            <w:r w:rsidRPr="008F0BE0">
              <w:rPr>
                <w:rFonts w:cs="Times New Roman"/>
                <w:color w:val="000000"/>
                <w:sz w:val="18"/>
                <w:szCs w:val="18"/>
              </w:rPr>
              <w:t>Provide individual thermal comfort controls for 50% of occupants</w:t>
            </w:r>
          </w:p>
        </w:tc>
        <w:tc>
          <w:tcPr>
            <w:tcW w:w="3261" w:type="dxa"/>
          </w:tcPr>
          <w:p w14:paraId="69C16E14"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w:t>
            </w:r>
          </w:p>
          <w:p w14:paraId="3CA8E6A2" w14:textId="77777777" w:rsidR="00052B3F" w:rsidRPr="008F0BE0" w:rsidRDefault="00052B3F" w:rsidP="008F0BE0">
            <w:pPr>
              <w:rPr>
                <w:rFonts w:cs="Times New Roman"/>
                <w:sz w:val="18"/>
                <w:szCs w:val="18"/>
              </w:rPr>
            </w:pPr>
            <w:r w:rsidRPr="008F0BE0">
              <w:rPr>
                <w:rFonts w:cs="Times New Roman"/>
                <w:color w:val="000000"/>
                <w:sz w:val="18"/>
                <w:szCs w:val="18"/>
              </w:rPr>
              <w:t>Aligns with LEED v4.1 requirements</w:t>
            </w:r>
          </w:p>
        </w:tc>
      </w:tr>
      <w:tr w:rsidR="00052B3F" w:rsidRPr="008F0BE0" w14:paraId="5D6C9979" w14:textId="77777777" w:rsidTr="008F0BE0">
        <w:tc>
          <w:tcPr>
            <w:tcW w:w="1696" w:type="dxa"/>
            <w:vMerge/>
          </w:tcPr>
          <w:p w14:paraId="65C8F9BD" w14:textId="77777777" w:rsidR="00052B3F" w:rsidRPr="008F0BE0" w:rsidRDefault="00052B3F" w:rsidP="008F0BE0">
            <w:pPr>
              <w:rPr>
                <w:rFonts w:cs="Times New Roman"/>
                <w:sz w:val="18"/>
                <w:szCs w:val="18"/>
              </w:rPr>
            </w:pPr>
          </w:p>
        </w:tc>
        <w:tc>
          <w:tcPr>
            <w:tcW w:w="5103" w:type="dxa"/>
          </w:tcPr>
          <w:p w14:paraId="6A21BECB" w14:textId="77777777" w:rsidR="00052B3F" w:rsidRPr="008F0BE0" w:rsidRDefault="00052B3F" w:rsidP="008F0BE0">
            <w:pPr>
              <w:pStyle w:val="ListParagraph"/>
              <w:numPr>
                <w:ilvl w:val="0"/>
                <w:numId w:val="59"/>
              </w:numPr>
              <w:tabs>
                <w:tab w:val="left" w:pos="39"/>
              </w:tabs>
              <w:spacing w:after="0" w:line="240" w:lineRule="auto"/>
              <w:ind w:left="323" w:hanging="284"/>
              <w:rPr>
                <w:rFonts w:cs="Times New Roman"/>
                <w:color w:val="000000"/>
                <w:sz w:val="18"/>
                <w:szCs w:val="18"/>
              </w:rPr>
            </w:pPr>
            <w:r w:rsidRPr="008F0BE0">
              <w:rPr>
                <w:rFonts w:cs="Times New Roman"/>
                <w:color w:val="000000"/>
                <w:sz w:val="18"/>
                <w:szCs w:val="18"/>
              </w:rPr>
              <w:t>Achieve a 2% daylight factor in 75% of regularly occupied floor area</w:t>
            </w:r>
          </w:p>
          <w:p w14:paraId="2BA16A9B" w14:textId="77777777" w:rsidR="00052B3F" w:rsidRPr="008F0BE0" w:rsidRDefault="00052B3F" w:rsidP="008F0BE0">
            <w:pPr>
              <w:pStyle w:val="ListParagraph"/>
              <w:numPr>
                <w:ilvl w:val="0"/>
                <w:numId w:val="59"/>
              </w:numPr>
              <w:tabs>
                <w:tab w:val="left" w:pos="39"/>
              </w:tabs>
              <w:spacing w:after="0" w:line="240" w:lineRule="auto"/>
              <w:ind w:left="323" w:hanging="284"/>
              <w:rPr>
                <w:rFonts w:cs="Times New Roman"/>
                <w:sz w:val="18"/>
                <w:szCs w:val="18"/>
              </w:rPr>
            </w:pPr>
            <w:r w:rsidRPr="008F0BE0">
              <w:rPr>
                <w:rFonts w:cs="Times New Roman"/>
                <w:color w:val="000000"/>
                <w:sz w:val="18"/>
                <w:szCs w:val="18"/>
              </w:rPr>
              <w:t>Provide manual shading devices for all glazing</w:t>
            </w:r>
          </w:p>
        </w:tc>
        <w:tc>
          <w:tcPr>
            <w:tcW w:w="3261" w:type="dxa"/>
          </w:tcPr>
          <w:p w14:paraId="6A83959F"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 Tier 2</w:t>
            </w:r>
          </w:p>
          <w:p w14:paraId="550FE261" w14:textId="77777777" w:rsidR="00052B3F" w:rsidRPr="008F0BE0" w:rsidRDefault="00052B3F" w:rsidP="008F0BE0">
            <w:pPr>
              <w:rPr>
                <w:rFonts w:cs="Times New Roman"/>
                <w:sz w:val="18"/>
                <w:szCs w:val="18"/>
              </w:rPr>
            </w:pPr>
            <w:r w:rsidRPr="008F0BE0">
              <w:rPr>
                <w:rFonts w:cs="Times New Roman"/>
                <w:color w:val="000000"/>
                <w:sz w:val="18"/>
                <w:szCs w:val="18"/>
              </w:rPr>
              <w:t>Aligns with U of T standards</w:t>
            </w:r>
          </w:p>
        </w:tc>
      </w:tr>
      <w:tr w:rsidR="00052B3F" w:rsidRPr="008F0BE0" w14:paraId="1427F9BE" w14:textId="77777777" w:rsidTr="008F0BE0">
        <w:tc>
          <w:tcPr>
            <w:tcW w:w="1696" w:type="dxa"/>
            <w:vMerge/>
          </w:tcPr>
          <w:p w14:paraId="2A48A8ED" w14:textId="77777777" w:rsidR="00052B3F" w:rsidRPr="008F0BE0" w:rsidRDefault="00052B3F" w:rsidP="008F0BE0">
            <w:pPr>
              <w:rPr>
                <w:rFonts w:cs="Times New Roman"/>
                <w:sz w:val="18"/>
                <w:szCs w:val="18"/>
              </w:rPr>
            </w:pPr>
          </w:p>
        </w:tc>
        <w:tc>
          <w:tcPr>
            <w:tcW w:w="5103" w:type="dxa"/>
          </w:tcPr>
          <w:p w14:paraId="40854A23" w14:textId="77777777" w:rsidR="00052B3F" w:rsidRPr="008F0BE0" w:rsidRDefault="00052B3F" w:rsidP="008F0BE0">
            <w:pPr>
              <w:pStyle w:val="ListParagraph"/>
              <w:numPr>
                <w:ilvl w:val="0"/>
                <w:numId w:val="60"/>
              </w:numPr>
              <w:tabs>
                <w:tab w:val="left" w:pos="39"/>
              </w:tabs>
              <w:spacing w:after="0" w:line="240" w:lineRule="auto"/>
              <w:ind w:left="323" w:hanging="284"/>
              <w:rPr>
                <w:rFonts w:cs="Times New Roman"/>
                <w:color w:val="000000"/>
                <w:sz w:val="18"/>
                <w:szCs w:val="18"/>
              </w:rPr>
            </w:pPr>
            <w:r w:rsidRPr="008F0BE0">
              <w:rPr>
                <w:rFonts w:cs="Times New Roman"/>
                <w:color w:val="000000"/>
                <w:sz w:val="18"/>
                <w:szCs w:val="18"/>
              </w:rPr>
              <w:t>Install water fountains and filtration systems to remove contaminants</w:t>
            </w:r>
          </w:p>
          <w:p w14:paraId="547A09D7" w14:textId="77777777" w:rsidR="00052B3F" w:rsidRPr="008F0BE0" w:rsidRDefault="00052B3F" w:rsidP="008F0BE0">
            <w:pPr>
              <w:pStyle w:val="ListParagraph"/>
              <w:numPr>
                <w:ilvl w:val="0"/>
                <w:numId w:val="60"/>
              </w:numPr>
              <w:tabs>
                <w:tab w:val="left" w:pos="39"/>
              </w:tabs>
              <w:spacing w:after="0" w:line="240" w:lineRule="auto"/>
              <w:ind w:left="323" w:hanging="284"/>
              <w:rPr>
                <w:rFonts w:cs="Times New Roman"/>
                <w:sz w:val="18"/>
                <w:szCs w:val="18"/>
              </w:rPr>
            </w:pPr>
            <w:r w:rsidRPr="008F0BE0">
              <w:rPr>
                <w:rFonts w:cs="Times New Roman"/>
                <w:color w:val="000000"/>
                <w:sz w:val="18"/>
                <w:szCs w:val="18"/>
              </w:rPr>
              <w:t>Conduct annual water quality tests</w:t>
            </w:r>
          </w:p>
        </w:tc>
        <w:tc>
          <w:tcPr>
            <w:tcW w:w="3261" w:type="dxa"/>
          </w:tcPr>
          <w:p w14:paraId="68D850E0" w14:textId="77777777" w:rsidR="00052B3F" w:rsidRPr="008F0BE0" w:rsidRDefault="00052B3F" w:rsidP="008F0BE0">
            <w:pPr>
              <w:rPr>
                <w:rFonts w:cs="Times New Roman"/>
                <w:color w:val="000000"/>
                <w:sz w:val="18"/>
                <w:szCs w:val="18"/>
              </w:rPr>
            </w:pPr>
            <w:r w:rsidRPr="008F0BE0">
              <w:rPr>
                <w:rFonts w:cs="Times New Roman"/>
                <w:color w:val="000000"/>
                <w:sz w:val="18"/>
                <w:szCs w:val="18"/>
              </w:rPr>
              <w:t>Exceeds TGS</w:t>
            </w:r>
          </w:p>
          <w:p w14:paraId="4DA37E10" w14:textId="77777777" w:rsidR="00052B3F" w:rsidRPr="008F0BE0" w:rsidRDefault="00052B3F" w:rsidP="008F0BE0">
            <w:pPr>
              <w:rPr>
                <w:rFonts w:cs="Times New Roman"/>
                <w:sz w:val="18"/>
                <w:szCs w:val="18"/>
              </w:rPr>
            </w:pPr>
            <w:r w:rsidRPr="008F0BE0">
              <w:rPr>
                <w:rFonts w:cs="Times New Roman"/>
                <w:color w:val="000000"/>
                <w:sz w:val="18"/>
                <w:szCs w:val="18"/>
              </w:rPr>
              <w:t>Aligns with WELL Building Standard</w:t>
            </w:r>
          </w:p>
        </w:tc>
      </w:tr>
      <w:tr w:rsidR="00052B3F" w:rsidRPr="008F0BE0" w14:paraId="318E467D" w14:textId="77777777" w:rsidTr="008F0BE0">
        <w:tc>
          <w:tcPr>
            <w:tcW w:w="1696" w:type="dxa"/>
            <w:vMerge/>
          </w:tcPr>
          <w:p w14:paraId="5CA49DE7" w14:textId="77777777" w:rsidR="00052B3F" w:rsidRPr="008F0BE0" w:rsidRDefault="00052B3F" w:rsidP="008F0BE0">
            <w:pPr>
              <w:rPr>
                <w:rFonts w:cs="Times New Roman"/>
                <w:sz w:val="18"/>
                <w:szCs w:val="18"/>
              </w:rPr>
            </w:pPr>
          </w:p>
        </w:tc>
        <w:tc>
          <w:tcPr>
            <w:tcW w:w="5103" w:type="dxa"/>
          </w:tcPr>
          <w:p w14:paraId="324A8361" w14:textId="77777777" w:rsidR="00052B3F" w:rsidRPr="008F0BE0" w:rsidRDefault="00052B3F" w:rsidP="008F0BE0">
            <w:pPr>
              <w:rPr>
                <w:rFonts w:cs="Times New Roman"/>
                <w:sz w:val="18"/>
                <w:szCs w:val="18"/>
              </w:rPr>
            </w:pPr>
            <w:r w:rsidRPr="008F0BE0">
              <w:rPr>
                <w:rFonts w:cs="Times New Roman"/>
                <w:color w:val="000000"/>
                <w:sz w:val="18"/>
                <w:szCs w:val="18"/>
              </w:rPr>
              <w:t>Incorporate at least 3 distinct biophilic design elements in each floor (e.g., natural materials, patterns, colors, images of nature)</w:t>
            </w:r>
          </w:p>
        </w:tc>
        <w:tc>
          <w:tcPr>
            <w:tcW w:w="3261" w:type="dxa"/>
          </w:tcPr>
          <w:p w14:paraId="6F9EFF9F" w14:textId="77777777" w:rsidR="00052B3F" w:rsidRPr="008F0BE0" w:rsidRDefault="00052B3F" w:rsidP="008F0BE0">
            <w:pPr>
              <w:rPr>
                <w:rFonts w:cs="Times New Roman"/>
                <w:color w:val="000000"/>
                <w:sz w:val="18"/>
                <w:szCs w:val="18"/>
              </w:rPr>
            </w:pPr>
            <w:r w:rsidRPr="008F0BE0">
              <w:rPr>
                <w:rFonts w:cs="Times New Roman"/>
                <w:color w:val="000000"/>
                <w:sz w:val="18"/>
                <w:szCs w:val="18"/>
              </w:rPr>
              <w:t>Not explicitly in TGS</w:t>
            </w:r>
          </w:p>
          <w:p w14:paraId="41C1595E" w14:textId="77777777" w:rsidR="00052B3F" w:rsidRPr="008F0BE0" w:rsidRDefault="00052B3F" w:rsidP="008F0BE0">
            <w:pPr>
              <w:keepNext/>
              <w:rPr>
                <w:rFonts w:cs="Times New Roman"/>
                <w:sz w:val="18"/>
                <w:szCs w:val="18"/>
              </w:rPr>
            </w:pPr>
            <w:r w:rsidRPr="008F0BE0">
              <w:rPr>
                <w:rFonts w:cs="Times New Roman"/>
                <w:color w:val="000000"/>
                <w:sz w:val="18"/>
                <w:szCs w:val="18"/>
              </w:rPr>
              <w:t>Exceeds Humber College standards</w:t>
            </w:r>
          </w:p>
        </w:tc>
      </w:tr>
    </w:tbl>
    <w:p w14:paraId="4EBAC655" w14:textId="16693375" w:rsidR="00052B3F" w:rsidRPr="00D06382" w:rsidRDefault="00052B3F" w:rsidP="008F0BE0">
      <w:pPr>
        <w:pStyle w:val="Heading2"/>
      </w:pPr>
      <w:bookmarkStart w:id="51" w:name="_Toc202743016"/>
      <w:r w:rsidRPr="00D06382">
        <w:t>Accessibility and Diversity, Equity, and Inclusion (DEI)</w:t>
      </w:r>
      <w:bookmarkEnd w:id="51"/>
    </w:p>
    <w:p w14:paraId="2DED3FA1" w14:textId="1EFF4115" w:rsidR="00052B3F" w:rsidRPr="00D06382" w:rsidRDefault="00052B3F" w:rsidP="00052B3F">
      <w:pPr>
        <w:jc w:val="both"/>
        <w:rPr>
          <w:rFonts w:cs="Times New Roman"/>
        </w:rPr>
      </w:pPr>
      <w:r w:rsidRPr="00D06382">
        <w:rPr>
          <w:rFonts w:cs="Times New Roman"/>
        </w:rPr>
        <w:t>Creating optimal learning environments through sustainable, DEI-focused design improves the quality of life on campus and knowledge retention for students in a holistic manner. York University must strive to build campus infrastructure and spaces that build a sense of belonging for all and are optimal environments informed by equitable, inclusive and accessible sustainable approaches.</w:t>
      </w:r>
    </w:p>
    <w:p w14:paraId="2BD837EA" w14:textId="08635ADF" w:rsidR="00052B3F" w:rsidRPr="00D06382" w:rsidRDefault="00052B3F" w:rsidP="00052B3F">
      <w:pPr>
        <w:jc w:val="both"/>
        <w:rPr>
          <w:rFonts w:cs="Times New Roman"/>
          <w:b/>
          <w:bCs/>
        </w:rPr>
      </w:pPr>
      <w:r w:rsidRPr="00D06382">
        <w:rPr>
          <w:rFonts w:cs="Times New Roman"/>
          <w:b/>
          <w:bCs/>
        </w:rPr>
        <w:t>Importance of Accessibility and DEI in Green Building Design</w:t>
      </w:r>
    </w:p>
    <w:p w14:paraId="2C3CFAB4" w14:textId="78978215" w:rsidR="00052B3F" w:rsidRPr="00D06382" w:rsidRDefault="00052B3F" w:rsidP="00052B3F">
      <w:pPr>
        <w:jc w:val="both"/>
        <w:rPr>
          <w:rFonts w:cs="Times New Roman"/>
        </w:rPr>
      </w:pPr>
      <w:r w:rsidRPr="00D06382">
        <w:rPr>
          <w:rFonts w:cs="Times New Roman"/>
        </w:rPr>
        <w:t>This approach ensures that sustainability benefits are equitably distributed among all users, regardless of their abilities, backgrounds, or identities. Accessible and inclusive design not only complies with legal requirements but also enhances user experience, promotes social sustainability, and contributes to the overall well-being of the campus community (Heylighen et al., 2017).</w:t>
      </w:r>
    </w:p>
    <w:p w14:paraId="238BF112" w14:textId="66A1C971" w:rsidR="00052B3F" w:rsidRPr="00D06382" w:rsidRDefault="00052B3F" w:rsidP="00052B3F">
      <w:pPr>
        <w:jc w:val="both"/>
        <w:rPr>
          <w:rFonts w:cs="Times New Roman"/>
          <w:b/>
          <w:bCs/>
        </w:rPr>
      </w:pPr>
      <w:r w:rsidRPr="00D06382">
        <w:rPr>
          <w:rFonts w:cs="Times New Roman"/>
          <w:b/>
          <w:bCs/>
        </w:rPr>
        <w:t>Incorporating DEI Considerations into Building Design and Use</w:t>
      </w:r>
    </w:p>
    <w:p w14:paraId="45486794" w14:textId="4CB021CD" w:rsidR="00052B3F" w:rsidRPr="00D06382" w:rsidRDefault="00052B3F" w:rsidP="00052B3F">
      <w:pPr>
        <w:jc w:val="both"/>
        <w:rPr>
          <w:rFonts w:cs="Times New Roman"/>
        </w:rPr>
      </w:pPr>
      <w:r w:rsidRPr="00D06382">
        <w:rPr>
          <w:rFonts w:cs="Times New Roman"/>
        </w:rPr>
        <w:t>To integrate DEI considerations effectively, York University</w:t>
      </w:r>
      <w:r w:rsidR="00027B17">
        <w:rPr>
          <w:rFonts w:cs="Times New Roman"/>
        </w:rPr>
        <w:t>’</w:t>
      </w:r>
      <w:r w:rsidRPr="00D06382">
        <w:rPr>
          <w:rFonts w:cs="Times New Roman"/>
        </w:rPr>
        <w:t>s green building strategy should:</w:t>
      </w:r>
    </w:p>
    <w:p w14:paraId="05BA650C" w14:textId="77777777" w:rsidR="00052B3F" w:rsidRPr="00D06382" w:rsidRDefault="00052B3F" w:rsidP="007D5ACF">
      <w:pPr>
        <w:numPr>
          <w:ilvl w:val="0"/>
          <w:numId w:val="72"/>
        </w:numPr>
        <w:spacing w:after="0" w:line="240" w:lineRule="auto"/>
        <w:jc w:val="both"/>
        <w:rPr>
          <w:rFonts w:cs="Times New Roman"/>
        </w:rPr>
      </w:pPr>
      <w:r w:rsidRPr="00D06382">
        <w:rPr>
          <w:rFonts w:cs="Times New Roman"/>
        </w:rPr>
        <w:t>Implement universal design principles to ensure all spaces are accessible to individuals with diverse abilities, including wheelchair accessibility, clear signage for visual impairments, and sensory-friendly design elements.</w:t>
      </w:r>
    </w:p>
    <w:p w14:paraId="5AC32D63" w14:textId="514AEA32" w:rsidR="00052B3F" w:rsidRPr="00D06382" w:rsidRDefault="00052B3F" w:rsidP="007D5ACF">
      <w:pPr>
        <w:numPr>
          <w:ilvl w:val="0"/>
          <w:numId w:val="72"/>
        </w:numPr>
        <w:spacing w:after="0" w:line="240" w:lineRule="auto"/>
        <w:rPr>
          <w:rFonts w:cs="Times New Roman"/>
        </w:rPr>
      </w:pPr>
      <w:r w:rsidRPr="00D06382">
        <w:rPr>
          <w:rFonts w:cs="Times New Roman"/>
        </w:rPr>
        <w:lastRenderedPageBreak/>
        <w:t>Create inclusive spaces that reflect and support York Univeristy</w:t>
      </w:r>
      <w:r w:rsidR="00027B17">
        <w:rPr>
          <w:rFonts w:cs="Times New Roman"/>
        </w:rPr>
        <w:t>’</w:t>
      </w:r>
      <w:r w:rsidRPr="00D06382">
        <w:rPr>
          <w:rFonts w:cs="Times New Roman"/>
        </w:rPr>
        <w:t>s diverse community with culturally responsive design elements.</w:t>
      </w:r>
    </w:p>
    <w:p w14:paraId="0CB1195E" w14:textId="77777777" w:rsidR="00052B3F" w:rsidRPr="00D06382" w:rsidRDefault="00052B3F" w:rsidP="007D5ACF">
      <w:pPr>
        <w:numPr>
          <w:ilvl w:val="0"/>
          <w:numId w:val="72"/>
        </w:numPr>
        <w:spacing w:after="0" w:line="240" w:lineRule="auto"/>
        <w:rPr>
          <w:rFonts w:cs="Times New Roman"/>
        </w:rPr>
      </w:pPr>
      <w:r w:rsidRPr="00D06382">
        <w:rPr>
          <w:rFonts w:cs="Times New Roman"/>
        </w:rPr>
        <w:t>Engage diverse stakeholders, including students, faculty, and staff from various backgrounds, in the design process to ensure multiple perspectives are considered.</w:t>
      </w:r>
    </w:p>
    <w:p w14:paraId="0126DBEE" w14:textId="77777777" w:rsidR="00052B3F" w:rsidRPr="00D06382" w:rsidRDefault="00052B3F" w:rsidP="007D5ACF">
      <w:pPr>
        <w:numPr>
          <w:ilvl w:val="0"/>
          <w:numId w:val="72"/>
        </w:numPr>
        <w:spacing w:after="0" w:line="240" w:lineRule="auto"/>
        <w:rPr>
          <w:rFonts w:cs="Times New Roman"/>
        </w:rPr>
      </w:pPr>
      <w:r w:rsidRPr="00D06382">
        <w:rPr>
          <w:rFonts w:cs="Times New Roman"/>
        </w:rPr>
        <w:t>Prioritize flexible and adaptable spaces that can accommodate changing needs and diverse user groups over time.</w:t>
      </w:r>
    </w:p>
    <w:p w14:paraId="272E9470" w14:textId="2E10FA0B" w:rsidR="00052B3F" w:rsidRPr="00D06382" w:rsidRDefault="00052B3F" w:rsidP="007D5ACF">
      <w:pPr>
        <w:numPr>
          <w:ilvl w:val="0"/>
          <w:numId w:val="72"/>
        </w:numPr>
        <w:spacing w:after="0" w:line="240" w:lineRule="auto"/>
        <w:rPr>
          <w:rFonts w:cs="Times New Roman"/>
        </w:rPr>
      </w:pPr>
      <w:r w:rsidRPr="00D06382">
        <w:rPr>
          <w:rFonts w:cs="Times New Roman"/>
        </w:rPr>
        <w:t>Ensure that sustainable features, such as advanced building controls or energy-efficient systems, are user-friendly and accessible to all occupants.</w:t>
      </w:r>
    </w:p>
    <w:p w14:paraId="4E45C687" w14:textId="77777777" w:rsidR="00406BF9" w:rsidRPr="00D06382" w:rsidRDefault="00406BF9" w:rsidP="00406BF9">
      <w:pPr>
        <w:spacing w:after="0" w:line="240" w:lineRule="auto"/>
        <w:ind w:left="720"/>
        <w:rPr>
          <w:rFonts w:cs="Times New Roman"/>
        </w:rPr>
      </w:pPr>
    </w:p>
    <w:p w14:paraId="6BBBF240" w14:textId="31988D11" w:rsidR="00052B3F" w:rsidRPr="00D06382" w:rsidRDefault="00052B3F" w:rsidP="00052B3F">
      <w:pPr>
        <w:rPr>
          <w:rFonts w:cs="Times New Roman"/>
        </w:rPr>
      </w:pPr>
      <w:r w:rsidRPr="00D06382">
        <w:rPr>
          <w:rFonts w:cs="Times New Roman"/>
        </w:rPr>
        <w:t>By integrating these principles, York University</w:t>
      </w:r>
      <w:r w:rsidR="00027B17">
        <w:rPr>
          <w:rFonts w:cs="Times New Roman"/>
        </w:rPr>
        <w:t>’</w:t>
      </w:r>
      <w:r w:rsidRPr="00D06382">
        <w:rPr>
          <w:rFonts w:cs="Times New Roman"/>
        </w:rPr>
        <w:t>s green building strategy will go beyond environmental considerations to encompass a holistic view of sustainability that includes social equity and inclusion.</w:t>
      </w:r>
    </w:p>
    <w:p w14:paraId="24496FC5" w14:textId="77777777" w:rsidR="00052B3F" w:rsidRPr="008F0BE0" w:rsidRDefault="00052B3F" w:rsidP="008F0BE0">
      <w:pPr>
        <w:pStyle w:val="Heading2"/>
      </w:pPr>
      <w:bookmarkStart w:id="52" w:name="_Toc202743017"/>
      <w:r w:rsidRPr="008F0BE0">
        <w:t>Key Implementation Strategies</w:t>
      </w:r>
      <w:bookmarkEnd w:id="52"/>
    </w:p>
    <w:p w14:paraId="3051AF69" w14:textId="77777777" w:rsidR="00052B3F" w:rsidRPr="00D06382" w:rsidRDefault="00052B3F" w:rsidP="00052B3F">
      <w:pPr>
        <w:rPr>
          <w:rFonts w:cs="Times New Roman"/>
        </w:rPr>
      </w:pPr>
      <w:r w:rsidRPr="00D06382">
        <w:rPr>
          <w:rFonts w:cs="Times New Roman"/>
        </w:rPr>
        <w:t>The successful implementation of the proposed YU Building Standard is hinged on the following strategies and approaches:</w:t>
      </w:r>
    </w:p>
    <w:p w14:paraId="48C316A0"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New Construction</w:t>
      </w:r>
    </w:p>
    <w:p w14:paraId="7F47DCE6"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Integrated Design Process: Mandate the adoption of an Integrated Design Process (IDP) involving all key stakeholders from project inception. This collaborative approach is crucial for achieving high-performance, cost-effective designs.</w:t>
      </w:r>
    </w:p>
    <w:p w14:paraId="02F26F86"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Energy Modeling: Require detailed energy modeling and embodied carbon analysis starting in the conceptual design phase and updated throughout the project to verify compliance with performance targets.</w:t>
      </w:r>
    </w:p>
    <w:p w14:paraId="29AD26D9"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Life Cycle Cost Analysis: Conduct life cycle cost analysis to justify upfront investments in high-performance systems and materials.</w:t>
      </w:r>
    </w:p>
    <w:p w14:paraId="72B80B07"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Performance-Based Procurement: Implement performance-based procurement processes that emphasize energy and carbon emission targets rather than prescriptive requirements.</w:t>
      </w:r>
    </w:p>
    <w:p w14:paraId="198C053B"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Design Reviews: Conduct third-party design reviews at key project stages to verify compliance with the standard and identify optimization opportunities.</w:t>
      </w:r>
    </w:p>
    <w:p w14:paraId="2BB15B50"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Innovation Incentives: Provide financial or recognition incentives for project teams to exceed minimum requirements or implement innovative solutions.</w:t>
      </w:r>
    </w:p>
    <w:p w14:paraId="4E08CC5A" w14:textId="77777777" w:rsidR="00052B3F" w:rsidRPr="00D06382" w:rsidRDefault="00052B3F" w:rsidP="007D5ACF">
      <w:pPr>
        <w:pStyle w:val="whitespace-normal"/>
        <w:numPr>
          <w:ilvl w:val="0"/>
          <w:numId w:val="17"/>
        </w:numPr>
        <w:jc w:val="both"/>
        <w:rPr>
          <w:rFonts w:asciiTheme="minorHAnsi" w:hAnsiTheme="minorHAnsi"/>
          <w:sz w:val="22"/>
          <w:szCs w:val="22"/>
        </w:rPr>
      </w:pPr>
      <w:r w:rsidRPr="00D06382">
        <w:rPr>
          <w:rFonts w:asciiTheme="minorHAnsi" w:hAnsiTheme="minorHAnsi"/>
          <w:sz w:val="22"/>
          <w:szCs w:val="22"/>
        </w:rPr>
        <w:t>Resilience and Climate Adaptation: Require climate risk assessments and adaptation strategies for all new construction projects</w:t>
      </w:r>
    </w:p>
    <w:p w14:paraId="42946CB1"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Existing Building Retrofits</w:t>
      </w:r>
    </w:p>
    <w:p w14:paraId="531A8D87" w14:textId="77777777" w:rsidR="00052B3F" w:rsidRPr="00D06382" w:rsidRDefault="00052B3F" w:rsidP="007D5ACF">
      <w:pPr>
        <w:pStyle w:val="whitespace-normal"/>
        <w:numPr>
          <w:ilvl w:val="0"/>
          <w:numId w:val="18"/>
        </w:numPr>
        <w:jc w:val="both"/>
        <w:rPr>
          <w:rFonts w:asciiTheme="minorHAnsi" w:hAnsiTheme="minorHAnsi"/>
          <w:color w:val="000000" w:themeColor="text1"/>
          <w:sz w:val="22"/>
          <w:szCs w:val="22"/>
        </w:rPr>
      </w:pPr>
      <w:r w:rsidRPr="00D06382">
        <w:rPr>
          <w:rFonts w:asciiTheme="minorHAnsi" w:hAnsiTheme="minorHAnsi"/>
          <w:color w:val="000000" w:themeColor="text1"/>
          <w:sz w:val="22"/>
          <w:szCs w:val="22"/>
        </w:rPr>
        <w:t>Building Performance Audits: Conduct detailed energy audits and building condition assessments to identify retrofit opportunities and prioritize buildings.</w:t>
      </w:r>
    </w:p>
    <w:p w14:paraId="3CB45BF8" w14:textId="77777777" w:rsidR="00052B3F" w:rsidRPr="00D06382" w:rsidRDefault="00052B3F" w:rsidP="007D5ACF">
      <w:pPr>
        <w:pStyle w:val="whitespace-normal"/>
        <w:numPr>
          <w:ilvl w:val="0"/>
          <w:numId w:val="18"/>
        </w:numPr>
        <w:jc w:val="both"/>
        <w:rPr>
          <w:rFonts w:asciiTheme="minorHAnsi" w:hAnsiTheme="minorHAnsi"/>
          <w:color w:val="000000" w:themeColor="text1"/>
          <w:sz w:val="22"/>
          <w:szCs w:val="22"/>
        </w:rPr>
      </w:pPr>
      <w:r w:rsidRPr="00D06382">
        <w:rPr>
          <w:rFonts w:asciiTheme="minorHAnsi" w:hAnsiTheme="minorHAnsi"/>
          <w:color w:val="000000" w:themeColor="text1"/>
          <w:sz w:val="22"/>
          <w:szCs w:val="22"/>
        </w:rPr>
        <w:t>Retrofit Roadmaps: Develop long-term retrofit roadmaps for each building, outlining a series of upgrades that will eventually achieve net zero performance.</w:t>
      </w:r>
    </w:p>
    <w:p w14:paraId="6E391075" w14:textId="77777777" w:rsidR="00052B3F" w:rsidRPr="00D06382" w:rsidRDefault="00052B3F" w:rsidP="007D5ACF">
      <w:pPr>
        <w:pStyle w:val="whitespace-normal"/>
        <w:numPr>
          <w:ilvl w:val="0"/>
          <w:numId w:val="18"/>
        </w:numPr>
        <w:jc w:val="both"/>
        <w:rPr>
          <w:rFonts w:asciiTheme="minorHAnsi" w:hAnsiTheme="minorHAnsi"/>
          <w:color w:val="000000" w:themeColor="text1"/>
          <w:sz w:val="22"/>
          <w:szCs w:val="22"/>
        </w:rPr>
      </w:pPr>
      <w:r w:rsidRPr="00D06382">
        <w:rPr>
          <w:rFonts w:asciiTheme="minorHAnsi" w:hAnsiTheme="minorHAnsi"/>
          <w:color w:val="000000" w:themeColor="text1"/>
          <w:sz w:val="22"/>
          <w:szCs w:val="22"/>
        </w:rPr>
        <w:lastRenderedPageBreak/>
        <w:t>Deep Energy Retrofits: Prioritize deep energy retrofits that holistically address the building envelope, HVAC, and lighting systems rather than isolated equipment replacements.</w:t>
      </w:r>
    </w:p>
    <w:p w14:paraId="1E3950C4" w14:textId="77777777" w:rsidR="00052B3F" w:rsidRPr="00D06382" w:rsidRDefault="00052B3F" w:rsidP="007D5ACF">
      <w:pPr>
        <w:pStyle w:val="whitespace-normal"/>
        <w:numPr>
          <w:ilvl w:val="0"/>
          <w:numId w:val="18"/>
        </w:numPr>
        <w:jc w:val="both"/>
        <w:rPr>
          <w:rFonts w:asciiTheme="minorHAnsi" w:hAnsiTheme="minorHAnsi"/>
          <w:color w:val="000000" w:themeColor="text1"/>
          <w:sz w:val="22"/>
          <w:szCs w:val="22"/>
        </w:rPr>
      </w:pPr>
      <w:r w:rsidRPr="00D06382">
        <w:rPr>
          <w:rFonts w:asciiTheme="minorHAnsi" w:hAnsiTheme="minorHAnsi"/>
          <w:color w:val="000000" w:themeColor="text1"/>
          <w:sz w:val="22"/>
          <w:szCs w:val="22"/>
        </w:rPr>
        <w:t>Incremental Retrofits: Where deep retrofits are not immediately feasible, implement a series of incremental upgrades aligned with the long-term roadmap.</w:t>
      </w:r>
    </w:p>
    <w:p w14:paraId="17DC3736" w14:textId="77777777" w:rsidR="00052B3F" w:rsidRPr="00D06382" w:rsidRDefault="00052B3F" w:rsidP="007D5ACF">
      <w:pPr>
        <w:pStyle w:val="whitespace-normal"/>
        <w:numPr>
          <w:ilvl w:val="0"/>
          <w:numId w:val="18"/>
        </w:numPr>
        <w:jc w:val="both"/>
        <w:rPr>
          <w:rFonts w:asciiTheme="minorHAnsi" w:hAnsiTheme="minorHAnsi"/>
          <w:color w:val="000000" w:themeColor="text1"/>
          <w:sz w:val="22"/>
          <w:szCs w:val="22"/>
        </w:rPr>
      </w:pPr>
      <w:r w:rsidRPr="00D06382">
        <w:rPr>
          <w:rFonts w:asciiTheme="minorHAnsi" w:hAnsiTheme="minorHAnsi"/>
          <w:color w:val="000000" w:themeColor="text1"/>
          <w:sz w:val="22"/>
          <w:szCs w:val="22"/>
        </w:rPr>
        <w:t>Occupant Engagement: Implement programs to educate and engage building occupants in energy conservation efforts.</w:t>
      </w:r>
    </w:p>
    <w:p w14:paraId="763EDB72" w14:textId="77777777" w:rsidR="00052B3F" w:rsidRPr="00D06382" w:rsidRDefault="00052B3F" w:rsidP="007D5ACF">
      <w:pPr>
        <w:pStyle w:val="whitespace-normal"/>
        <w:numPr>
          <w:ilvl w:val="0"/>
          <w:numId w:val="18"/>
        </w:numPr>
        <w:jc w:val="both"/>
        <w:rPr>
          <w:rFonts w:asciiTheme="minorHAnsi" w:hAnsiTheme="minorHAnsi"/>
          <w:sz w:val="22"/>
          <w:szCs w:val="22"/>
        </w:rPr>
      </w:pPr>
      <w:r w:rsidRPr="00D06382">
        <w:rPr>
          <w:rFonts w:asciiTheme="minorHAnsi" w:hAnsiTheme="minorHAnsi"/>
          <w:color w:val="000000" w:themeColor="text1"/>
          <w:sz w:val="22"/>
          <w:szCs w:val="22"/>
        </w:rPr>
        <w:t>Resilience Upgrades:</w:t>
      </w:r>
      <w:r w:rsidRPr="00D06382">
        <w:rPr>
          <w:rFonts w:asciiTheme="minorHAnsi" w:hAnsiTheme="minorHAnsi"/>
          <w:sz w:val="22"/>
          <w:szCs w:val="22"/>
        </w:rPr>
        <w:t xml:space="preserve"> Incorporate climate adaptation and resilience measures into retrofit plans.</w:t>
      </w:r>
    </w:p>
    <w:p w14:paraId="64759388"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Governance and Management</w:t>
      </w:r>
    </w:p>
    <w:p w14:paraId="0DA9B0A3" w14:textId="77777777"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Green Building Strategy Adoption: Formally adopt the standard as official university policy applicable to all capital projects.</w:t>
      </w:r>
    </w:p>
    <w:p w14:paraId="41EA03BA" w14:textId="7C3BF309"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Project Requirements: Incorporate the standard</w:t>
      </w:r>
      <w:r w:rsidR="00027B17">
        <w:rPr>
          <w:rFonts w:asciiTheme="minorHAnsi" w:hAnsiTheme="minorHAnsi"/>
          <w:sz w:val="22"/>
          <w:szCs w:val="22"/>
        </w:rPr>
        <w:t>’</w:t>
      </w:r>
      <w:r w:rsidRPr="00D06382">
        <w:rPr>
          <w:rFonts w:asciiTheme="minorHAnsi" w:hAnsiTheme="minorHAnsi"/>
          <w:sz w:val="22"/>
          <w:szCs w:val="22"/>
        </w:rPr>
        <w:t>s requirements into all project briefs, RFPs, and contracts.</w:t>
      </w:r>
    </w:p>
    <w:p w14:paraId="499DDE59" w14:textId="77777777"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Internal Expertise: Develop internal expertise on high-performance building design and technologies within the facilities management team.</w:t>
      </w:r>
    </w:p>
    <w:p w14:paraId="4867C5C3" w14:textId="77777777"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Training Programs: Implement training programs on net zero building operations for project managers, facilities staff and building occupants.</w:t>
      </w:r>
    </w:p>
    <w:p w14:paraId="501AA3FA" w14:textId="77777777"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Performance Tracking: Establish a robust building performance tracking system to monitor progress towards targets.</w:t>
      </w:r>
    </w:p>
    <w:p w14:paraId="29119B5E" w14:textId="77777777"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Reporting and Disclosure: Publicly report on building energy and carbon performance annually.</w:t>
      </w:r>
    </w:p>
    <w:p w14:paraId="23822E0E" w14:textId="77777777"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Continuous Improvement: Regularly review and update the standard based on implementation experience and evolving best practices.</w:t>
      </w:r>
    </w:p>
    <w:p w14:paraId="542D9ECF" w14:textId="2B6B8F0D" w:rsidR="00052B3F" w:rsidRPr="00D06382" w:rsidRDefault="00052B3F" w:rsidP="007D5ACF">
      <w:pPr>
        <w:pStyle w:val="whitespace-normal"/>
        <w:numPr>
          <w:ilvl w:val="0"/>
          <w:numId w:val="19"/>
        </w:numPr>
        <w:jc w:val="both"/>
        <w:rPr>
          <w:rFonts w:asciiTheme="minorHAnsi" w:hAnsiTheme="minorHAnsi"/>
          <w:sz w:val="22"/>
          <w:szCs w:val="22"/>
        </w:rPr>
      </w:pPr>
      <w:r w:rsidRPr="00D06382">
        <w:rPr>
          <w:rFonts w:asciiTheme="minorHAnsi" w:hAnsiTheme="minorHAnsi"/>
          <w:sz w:val="22"/>
          <w:szCs w:val="22"/>
        </w:rPr>
        <w:t>Interdisciplinary Collaboration: Establish formal channels for collaboration between facilities management, academic departments, and research centers to leverage York</w:t>
      </w:r>
      <w:r w:rsidR="00027B17">
        <w:rPr>
          <w:rFonts w:asciiTheme="minorHAnsi" w:hAnsiTheme="minorHAnsi"/>
          <w:sz w:val="22"/>
          <w:szCs w:val="22"/>
        </w:rPr>
        <w:t>’</w:t>
      </w:r>
      <w:r w:rsidRPr="00D06382">
        <w:rPr>
          <w:rFonts w:asciiTheme="minorHAnsi" w:hAnsiTheme="minorHAnsi"/>
          <w:sz w:val="22"/>
          <w:szCs w:val="22"/>
        </w:rPr>
        <w:t>s expertise in sustainability and environmental studies</w:t>
      </w:r>
    </w:p>
    <w:p w14:paraId="75324F3A" w14:textId="77777777" w:rsidR="00052B3F"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This comprehensive framework provides a roadmap for York University to achieve net zero carbon emissions from its building portfolio. By setting targets, leveraging proven technologies and design strategies, and implementing a holistic approach to new construction and retrofits, YU can establish itself as a leader in sustainable campus development. The proposed standard aligns with and, in some cases, exceeds leading green building standards like the Toronto Green Standard while incorporating best practices from peer institutions.</w:t>
      </w:r>
    </w:p>
    <w:p w14:paraId="366891D2" w14:textId="77777777" w:rsidR="008A44F9" w:rsidRDefault="008A44F9" w:rsidP="00A50F77">
      <w:pPr>
        <w:pStyle w:val="Heading2"/>
      </w:pPr>
      <w:bookmarkStart w:id="53" w:name="_Toc202743018"/>
      <w:r w:rsidRPr="008A44F9">
        <w:t>Community Engagement and Stakeholder Integration in Green Building Implementation</w:t>
      </w:r>
      <w:bookmarkEnd w:id="53"/>
    </w:p>
    <w:p w14:paraId="51F2F4A8" w14:textId="2AD24039" w:rsidR="00271C0D" w:rsidRPr="00271C0D" w:rsidRDefault="00937E12" w:rsidP="00271C0D">
      <w:pPr>
        <w:pStyle w:val="whitespace-pre-wrap"/>
        <w:jc w:val="both"/>
        <w:rPr>
          <w:rFonts w:asciiTheme="minorHAnsi" w:hAnsiTheme="minorHAnsi"/>
          <w:sz w:val="22"/>
          <w:szCs w:val="22"/>
        </w:rPr>
      </w:pPr>
      <w:r w:rsidRPr="00937E12">
        <w:rPr>
          <w:rFonts w:asciiTheme="minorHAnsi" w:hAnsiTheme="minorHAnsi"/>
          <w:sz w:val="22"/>
          <w:szCs w:val="22"/>
        </w:rPr>
        <w:t xml:space="preserve">The proposed green building strategy leverages the institution’s established community engagement strengths to achieve three main objectives: gaining institutional support and fulfilment, attracting environmentally conscious students and faculty, and educating the campus community on sustainability achievements. This approach directly builds on York’s </w:t>
      </w:r>
      <w:r w:rsidRPr="00937E12">
        <w:rPr>
          <w:rFonts w:asciiTheme="minorHAnsi" w:hAnsiTheme="minorHAnsi"/>
          <w:sz w:val="22"/>
          <w:szCs w:val="22"/>
        </w:rPr>
        <w:lastRenderedPageBreak/>
        <w:t xml:space="preserve">Well-being Strategy (2024-2030), UN SDG commitments, and the university’s tradition of inclusive excellence. By integrating green building initiatives with existing frameworks, including the Mental Health Commission of Canada Standards and Okanagan Charter commitments, the strategy ensures that sustainability efforts enhance environmental performance and community well-being while supporting York’s </w:t>
      </w:r>
      <w:r>
        <w:rPr>
          <w:rFonts w:asciiTheme="minorHAnsi" w:hAnsiTheme="minorHAnsi"/>
          <w:sz w:val="22"/>
          <w:szCs w:val="22"/>
        </w:rPr>
        <w:t>net</w:t>
      </w:r>
      <w:r w:rsidR="00193864">
        <w:rPr>
          <w:rFonts w:asciiTheme="minorHAnsi" w:hAnsiTheme="minorHAnsi"/>
          <w:sz w:val="22"/>
          <w:szCs w:val="22"/>
        </w:rPr>
        <w:t>-</w:t>
      </w:r>
      <w:r>
        <w:rPr>
          <w:rFonts w:asciiTheme="minorHAnsi" w:hAnsiTheme="minorHAnsi"/>
          <w:sz w:val="22"/>
          <w:szCs w:val="22"/>
        </w:rPr>
        <w:t>zero</w:t>
      </w:r>
      <w:r w:rsidRPr="00937E12">
        <w:rPr>
          <w:rFonts w:asciiTheme="minorHAnsi" w:hAnsiTheme="minorHAnsi"/>
          <w:sz w:val="22"/>
          <w:szCs w:val="22"/>
        </w:rPr>
        <w:t xml:space="preserve"> goal by 2040.</w:t>
      </w:r>
    </w:p>
    <w:p w14:paraId="70A0B13D" w14:textId="77777777" w:rsidR="00271C0D" w:rsidRPr="00271C0D" w:rsidRDefault="00271C0D" w:rsidP="00271C0D">
      <w:pPr>
        <w:pStyle w:val="whitespace-pre-wrap"/>
        <w:jc w:val="both"/>
        <w:rPr>
          <w:rFonts w:asciiTheme="minorHAnsi" w:hAnsiTheme="minorHAnsi"/>
          <w:b/>
          <w:bCs/>
          <w:sz w:val="22"/>
          <w:szCs w:val="22"/>
        </w:rPr>
      </w:pPr>
      <w:r w:rsidRPr="00271C0D">
        <w:rPr>
          <w:rFonts w:asciiTheme="minorHAnsi" w:hAnsiTheme="minorHAnsi"/>
          <w:b/>
          <w:bCs/>
          <w:sz w:val="22"/>
          <w:szCs w:val="22"/>
        </w:rPr>
        <w:t>Multi-Level Stakeholder Engagement Framework</w:t>
      </w:r>
    </w:p>
    <w:p w14:paraId="5FBC53B0" w14:textId="6C6CDD19"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Successful implementation of York</w:t>
      </w:r>
      <w:r w:rsidR="00027B17">
        <w:rPr>
          <w:rFonts w:asciiTheme="minorHAnsi" w:hAnsiTheme="minorHAnsi"/>
          <w:sz w:val="22"/>
          <w:szCs w:val="22"/>
        </w:rPr>
        <w:t>’</w:t>
      </w:r>
      <w:r w:rsidRPr="00271C0D">
        <w:rPr>
          <w:rFonts w:asciiTheme="minorHAnsi" w:hAnsiTheme="minorHAnsi"/>
          <w:sz w:val="22"/>
          <w:szCs w:val="22"/>
        </w:rPr>
        <w:t>s Net Zero Building Standard requires coordinated engagement across all campus stakeholder levels, leveraging existing institutional relationships and communication networks to maximize participation and impact.</w:t>
      </w:r>
    </w:p>
    <w:p w14:paraId="326A64BA" w14:textId="06EB2D54" w:rsidR="007E61A3" w:rsidRPr="007E61A3" w:rsidRDefault="007E61A3" w:rsidP="007E61A3">
      <w:pPr>
        <w:pStyle w:val="Caption"/>
        <w:keepNext/>
        <w:jc w:val="center"/>
        <w:rPr>
          <w:b/>
          <w:bCs/>
        </w:rPr>
      </w:pPr>
      <w:r w:rsidRPr="007E61A3">
        <w:rPr>
          <w:b/>
          <w:bCs/>
        </w:rPr>
        <w:t xml:space="preserve">Table </w:t>
      </w:r>
      <w:r w:rsidRPr="007E61A3">
        <w:rPr>
          <w:b/>
          <w:bCs/>
        </w:rPr>
        <w:fldChar w:fldCharType="begin"/>
      </w:r>
      <w:r w:rsidRPr="007E61A3">
        <w:rPr>
          <w:b/>
          <w:bCs/>
        </w:rPr>
        <w:instrText xml:space="preserve"> SEQ Table \* ARABIC </w:instrText>
      </w:r>
      <w:r w:rsidRPr="007E61A3">
        <w:rPr>
          <w:b/>
          <w:bCs/>
        </w:rPr>
        <w:fldChar w:fldCharType="separate"/>
      </w:r>
      <w:r>
        <w:rPr>
          <w:b/>
          <w:bCs/>
          <w:noProof/>
        </w:rPr>
        <w:t>4</w:t>
      </w:r>
      <w:r w:rsidRPr="007E61A3">
        <w:rPr>
          <w:b/>
          <w:bCs/>
        </w:rPr>
        <w:fldChar w:fldCharType="end"/>
      </w:r>
      <w:r w:rsidRPr="007E61A3">
        <w:rPr>
          <w:b/>
          <w:bCs/>
        </w:rPr>
        <w:t xml:space="preserve"> Stakeholder Engagement Strategy by Level</w:t>
      </w:r>
    </w:p>
    <w:tbl>
      <w:tblPr>
        <w:tblStyle w:val="GridTable1Light-Accent4"/>
        <w:tblW w:w="0" w:type="auto"/>
        <w:tblLook w:val="04A0" w:firstRow="1" w:lastRow="0" w:firstColumn="1" w:lastColumn="0" w:noHBand="0" w:noVBand="1"/>
      </w:tblPr>
      <w:tblGrid>
        <w:gridCol w:w="1497"/>
        <w:gridCol w:w="2466"/>
        <w:gridCol w:w="2695"/>
        <w:gridCol w:w="2692"/>
      </w:tblGrid>
      <w:tr w:rsidR="00D935A1" w:rsidRPr="00271C0D" w14:paraId="753A19F5" w14:textId="77777777" w:rsidTr="008A44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70F54B0F" w14:textId="77777777" w:rsidR="00271C0D" w:rsidRPr="00271C0D" w:rsidRDefault="00271C0D" w:rsidP="00271C0D">
            <w:pPr>
              <w:pStyle w:val="whitespace-pre-wrap"/>
              <w:jc w:val="both"/>
              <w:rPr>
                <w:rFonts w:asciiTheme="minorHAnsi" w:hAnsiTheme="minorHAnsi"/>
                <w:sz w:val="20"/>
                <w:szCs w:val="20"/>
              </w:rPr>
            </w:pPr>
            <w:r w:rsidRPr="00271C0D">
              <w:rPr>
                <w:rFonts w:asciiTheme="minorHAnsi" w:hAnsiTheme="minorHAnsi"/>
                <w:sz w:val="20"/>
                <w:szCs w:val="20"/>
              </w:rPr>
              <w:t>Stakeholder Level</w:t>
            </w:r>
          </w:p>
        </w:tc>
        <w:tc>
          <w:tcPr>
            <w:tcW w:w="0" w:type="auto"/>
            <w:hideMark/>
          </w:tcPr>
          <w:p w14:paraId="0D4D7404"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Key Groups</w:t>
            </w:r>
          </w:p>
        </w:tc>
        <w:tc>
          <w:tcPr>
            <w:tcW w:w="0" w:type="auto"/>
            <w:hideMark/>
          </w:tcPr>
          <w:p w14:paraId="6F6870C7"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Primary Engagement Methods</w:t>
            </w:r>
          </w:p>
        </w:tc>
        <w:tc>
          <w:tcPr>
            <w:tcW w:w="0" w:type="auto"/>
            <w:hideMark/>
          </w:tcPr>
          <w:p w14:paraId="14BB6C65"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Measurable Outcomes</w:t>
            </w:r>
          </w:p>
        </w:tc>
      </w:tr>
      <w:tr w:rsidR="00D935A1" w:rsidRPr="00271C0D" w14:paraId="373B8915"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5102BFD8" w14:textId="77777777" w:rsidR="00271C0D" w:rsidRPr="00271C0D" w:rsidRDefault="00271C0D" w:rsidP="00B67AE4">
            <w:pPr>
              <w:pStyle w:val="whitespace-pre-wrap"/>
              <w:rPr>
                <w:rFonts w:asciiTheme="minorHAnsi" w:hAnsiTheme="minorHAnsi"/>
                <w:sz w:val="20"/>
                <w:szCs w:val="20"/>
              </w:rPr>
            </w:pPr>
            <w:r w:rsidRPr="00271C0D">
              <w:rPr>
                <w:rFonts w:asciiTheme="minorHAnsi" w:hAnsiTheme="minorHAnsi"/>
                <w:sz w:val="20"/>
                <w:szCs w:val="20"/>
              </w:rPr>
              <w:t>Students</w:t>
            </w:r>
          </w:p>
        </w:tc>
        <w:tc>
          <w:tcPr>
            <w:tcW w:w="0" w:type="auto"/>
            <w:hideMark/>
          </w:tcPr>
          <w:p w14:paraId="71869443"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Undergraduate, Graduate, Residential</w:t>
            </w:r>
          </w:p>
        </w:tc>
        <w:tc>
          <w:tcPr>
            <w:tcW w:w="0" w:type="auto"/>
            <w:hideMark/>
          </w:tcPr>
          <w:p w14:paraId="52F2C387"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Course integration, research projects, residence programming, peer education networks</w:t>
            </w:r>
          </w:p>
        </w:tc>
        <w:tc>
          <w:tcPr>
            <w:tcW w:w="0" w:type="auto"/>
            <w:hideMark/>
          </w:tcPr>
          <w:p w14:paraId="4643EF2E"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Course enrollment numbers, research publications, residence satisfaction scores</w:t>
            </w:r>
          </w:p>
        </w:tc>
      </w:tr>
      <w:tr w:rsidR="00D935A1" w:rsidRPr="00271C0D" w14:paraId="078A306A"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0206CE83" w14:textId="77777777" w:rsidR="00271C0D" w:rsidRPr="00271C0D" w:rsidRDefault="00271C0D" w:rsidP="00B67AE4">
            <w:pPr>
              <w:pStyle w:val="whitespace-pre-wrap"/>
              <w:rPr>
                <w:rFonts w:asciiTheme="minorHAnsi" w:hAnsiTheme="minorHAnsi"/>
                <w:sz w:val="20"/>
                <w:szCs w:val="20"/>
              </w:rPr>
            </w:pPr>
            <w:r w:rsidRPr="00271C0D">
              <w:rPr>
                <w:rFonts w:asciiTheme="minorHAnsi" w:hAnsiTheme="minorHAnsi"/>
                <w:sz w:val="20"/>
                <w:szCs w:val="20"/>
              </w:rPr>
              <w:t>Faculty &amp; Staff</w:t>
            </w:r>
          </w:p>
        </w:tc>
        <w:tc>
          <w:tcPr>
            <w:tcW w:w="0" w:type="auto"/>
            <w:hideMark/>
          </w:tcPr>
          <w:p w14:paraId="5A2D2FEF"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Academic departments, Administrative units, Facilities teams</w:t>
            </w:r>
          </w:p>
        </w:tc>
        <w:tc>
          <w:tcPr>
            <w:tcW w:w="0" w:type="auto"/>
            <w:hideMark/>
          </w:tcPr>
          <w:p w14:paraId="1294D472"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Professional development, research collaboration, workplace wellness integration</w:t>
            </w:r>
          </w:p>
        </w:tc>
        <w:tc>
          <w:tcPr>
            <w:tcW w:w="0" w:type="auto"/>
            <w:hideMark/>
          </w:tcPr>
          <w:p w14:paraId="72A6E41D"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Training completion rates, research grant applications, workplace satisfaction metrics</w:t>
            </w:r>
          </w:p>
        </w:tc>
      </w:tr>
      <w:tr w:rsidR="00D935A1" w:rsidRPr="00271C0D" w14:paraId="122DDA44"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5B6FF9FE" w14:textId="77777777" w:rsidR="00271C0D" w:rsidRPr="00271C0D" w:rsidRDefault="00271C0D" w:rsidP="00B67AE4">
            <w:pPr>
              <w:pStyle w:val="whitespace-pre-wrap"/>
              <w:rPr>
                <w:rFonts w:asciiTheme="minorHAnsi" w:hAnsiTheme="minorHAnsi"/>
                <w:sz w:val="20"/>
                <w:szCs w:val="20"/>
              </w:rPr>
            </w:pPr>
            <w:r w:rsidRPr="00271C0D">
              <w:rPr>
                <w:rFonts w:asciiTheme="minorHAnsi" w:hAnsiTheme="minorHAnsi"/>
                <w:sz w:val="20"/>
                <w:szCs w:val="20"/>
              </w:rPr>
              <w:t>Campus Leadership</w:t>
            </w:r>
          </w:p>
        </w:tc>
        <w:tc>
          <w:tcPr>
            <w:tcW w:w="0" w:type="auto"/>
            <w:hideMark/>
          </w:tcPr>
          <w:p w14:paraId="71D67AE8"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Senior administration, Deans, Department heads</w:t>
            </w:r>
          </w:p>
        </w:tc>
        <w:tc>
          <w:tcPr>
            <w:tcW w:w="0" w:type="auto"/>
            <w:hideMark/>
          </w:tcPr>
          <w:p w14:paraId="4C361D3A"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Policy development, budget allocation, strategic planning integration</w:t>
            </w:r>
          </w:p>
        </w:tc>
        <w:tc>
          <w:tcPr>
            <w:tcW w:w="0" w:type="auto"/>
            <w:hideMark/>
          </w:tcPr>
          <w:p w14:paraId="530C1927"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Policy adoption timelines, budget commitments, strategic plan updates</w:t>
            </w:r>
          </w:p>
        </w:tc>
      </w:tr>
      <w:tr w:rsidR="00D935A1" w:rsidRPr="00271C0D" w14:paraId="43E7D4D0"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041B282A" w14:textId="77777777" w:rsidR="00271C0D" w:rsidRPr="00271C0D" w:rsidRDefault="00271C0D" w:rsidP="00B67AE4">
            <w:pPr>
              <w:pStyle w:val="whitespace-pre-wrap"/>
              <w:rPr>
                <w:rFonts w:asciiTheme="minorHAnsi" w:hAnsiTheme="minorHAnsi"/>
                <w:sz w:val="20"/>
                <w:szCs w:val="20"/>
              </w:rPr>
            </w:pPr>
            <w:r w:rsidRPr="00271C0D">
              <w:rPr>
                <w:rFonts w:asciiTheme="minorHAnsi" w:hAnsiTheme="minorHAnsi"/>
                <w:sz w:val="20"/>
                <w:szCs w:val="20"/>
              </w:rPr>
              <w:t>External Partners</w:t>
            </w:r>
          </w:p>
        </w:tc>
        <w:tc>
          <w:tcPr>
            <w:tcW w:w="0" w:type="auto"/>
            <w:hideMark/>
          </w:tcPr>
          <w:p w14:paraId="20E09559" w14:textId="6F5D20B0" w:rsidR="00271C0D" w:rsidRPr="00271C0D" w:rsidRDefault="00D935A1"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Pr>
                <w:rFonts w:asciiTheme="minorHAnsi" w:hAnsiTheme="minorHAnsi"/>
                <w:sz w:val="20"/>
                <w:szCs w:val="20"/>
              </w:rPr>
              <w:t>Government agencies,</w:t>
            </w:r>
            <w:r w:rsidR="00271C0D" w:rsidRPr="00271C0D">
              <w:rPr>
                <w:rFonts w:asciiTheme="minorHAnsi" w:hAnsiTheme="minorHAnsi"/>
                <w:sz w:val="20"/>
                <w:szCs w:val="20"/>
              </w:rPr>
              <w:t xml:space="preserve"> Local community, Industry partners, </w:t>
            </w:r>
            <w:r>
              <w:rPr>
                <w:rFonts w:asciiTheme="minorHAnsi" w:hAnsiTheme="minorHAnsi"/>
                <w:sz w:val="20"/>
                <w:szCs w:val="20"/>
              </w:rPr>
              <w:t>Alumni</w:t>
            </w:r>
          </w:p>
        </w:tc>
        <w:tc>
          <w:tcPr>
            <w:tcW w:w="0" w:type="auto"/>
            <w:hideMark/>
          </w:tcPr>
          <w:p w14:paraId="62CE32C0"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Advisory roles, showcase events, partnership agreements, policy advocacy</w:t>
            </w:r>
          </w:p>
        </w:tc>
        <w:tc>
          <w:tcPr>
            <w:tcW w:w="0" w:type="auto"/>
            <w:hideMark/>
          </w:tcPr>
          <w:p w14:paraId="1B7DCB2A"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Partnership agreements signed, funding secured, media coverage generated</w:t>
            </w:r>
          </w:p>
        </w:tc>
      </w:tr>
    </w:tbl>
    <w:p w14:paraId="2FDBFF23" w14:textId="446CC203"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 xml:space="preserve">Students serve as primary ambassadors through academic integration opportunities, </w:t>
      </w:r>
      <w:r w:rsidR="00921A51">
        <w:rPr>
          <w:rFonts w:asciiTheme="minorHAnsi" w:hAnsiTheme="minorHAnsi"/>
          <w:sz w:val="22"/>
          <w:szCs w:val="22"/>
        </w:rPr>
        <w:t>especially</w:t>
      </w:r>
      <w:r w:rsidRPr="00271C0D">
        <w:rPr>
          <w:rFonts w:asciiTheme="minorHAnsi" w:hAnsiTheme="minorHAnsi"/>
          <w:sz w:val="22"/>
          <w:szCs w:val="22"/>
        </w:rPr>
        <w:t xml:space="preserve"> within York</w:t>
      </w:r>
      <w:r w:rsidR="00027B17">
        <w:rPr>
          <w:rFonts w:asciiTheme="minorHAnsi" w:hAnsiTheme="minorHAnsi"/>
          <w:sz w:val="22"/>
          <w:szCs w:val="22"/>
        </w:rPr>
        <w:t>’</w:t>
      </w:r>
      <w:r w:rsidRPr="00271C0D">
        <w:rPr>
          <w:rFonts w:asciiTheme="minorHAnsi" w:hAnsiTheme="minorHAnsi"/>
          <w:sz w:val="22"/>
          <w:szCs w:val="22"/>
        </w:rPr>
        <w:t xml:space="preserve">s </w:t>
      </w:r>
      <w:r w:rsidR="00921A51">
        <w:rPr>
          <w:rFonts w:asciiTheme="minorHAnsi" w:hAnsiTheme="minorHAnsi"/>
          <w:sz w:val="22"/>
          <w:szCs w:val="22"/>
        </w:rPr>
        <w:t>sustainability focused</w:t>
      </w:r>
      <w:r w:rsidRPr="00271C0D">
        <w:rPr>
          <w:rFonts w:asciiTheme="minorHAnsi" w:hAnsiTheme="minorHAnsi"/>
          <w:sz w:val="22"/>
          <w:szCs w:val="22"/>
        </w:rPr>
        <w:t xml:space="preserve"> programs. Faculty research collaborations transform buildings into </w:t>
      </w:r>
      <w:r w:rsidR="00A8627F">
        <w:rPr>
          <w:rFonts w:asciiTheme="minorHAnsi" w:hAnsiTheme="minorHAnsi"/>
          <w:sz w:val="22"/>
          <w:szCs w:val="22"/>
        </w:rPr>
        <w:t>“</w:t>
      </w:r>
      <w:r w:rsidRPr="00271C0D">
        <w:rPr>
          <w:rFonts w:asciiTheme="minorHAnsi" w:hAnsiTheme="minorHAnsi"/>
          <w:sz w:val="22"/>
          <w:szCs w:val="22"/>
        </w:rPr>
        <w:t>living laboratories</w:t>
      </w:r>
      <w:r w:rsidR="00A8627F">
        <w:rPr>
          <w:rFonts w:asciiTheme="minorHAnsi" w:hAnsiTheme="minorHAnsi"/>
          <w:sz w:val="22"/>
          <w:szCs w:val="22"/>
        </w:rPr>
        <w:t>”</w:t>
      </w:r>
      <w:r w:rsidRPr="00271C0D">
        <w:rPr>
          <w:rFonts w:asciiTheme="minorHAnsi" w:hAnsiTheme="minorHAnsi"/>
          <w:sz w:val="22"/>
          <w:szCs w:val="22"/>
        </w:rPr>
        <w:t xml:space="preserve"> that generate data for both building optimization and academic publications. Staff engagement focuses on workplace benefits and professional development opportunities that demonstrate career advancement potential through sustainability expertise.</w:t>
      </w:r>
    </w:p>
    <w:p w14:paraId="25D7B7CF" w14:textId="50687132"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External partnerships extend York</w:t>
      </w:r>
      <w:r w:rsidR="00027B17">
        <w:rPr>
          <w:rFonts w:asciiTheme="minorHAnsi" w:hAnsiTheme="minorHAnsi"/>
          <w:sz w:val="22"/>
          <w:szCs w:val="22"/>
        </w:rPr>
        <w:t>’</w:t>
      </w:r>
      <w:r w:rsidRPr="00271C0D">
        <w:rPr>
          <w:rFonts w:asciiTheme="minorHAnsi" w:hAnsiTheme="minorHAnsi"/>
          <w:sz w:val="22"/>
          <w:szCs w:val="22"/>
        </w:rPr>
        <w:t>s influence beyond campus boundaries, positioning the university as a sustainability leader while creating recruitment advantages and funding opportunities. The strategy specifically leverages York</w:t>
      </w:r>
      <w:r w:rsidR="00027B17">
        <w:rPr>
          <w:rFonts w:asciiTheme="minorHAnsi" w:hAnsiTheme="minorHAnsi"/>
          <w:sz w:val="22"/>
          <w:szCs w:val="22"/>
        </w:rPr>
        <w:t>’</w:t>
      </w:r>
      <w:r w:rsidRPr="00271C0D">
        <w:rPr>
          <w:rFonts w:asciiTheme="minorHAnsi" w:hAnsiTheme="minorHAnsi"/>
          <w:sz w:val="22"/>
          <w:szCs w:val="22"/>
        </w:rPr>
        <w:t>s diverse building portfolio and large campus area to provide multiple demonstration sites for different stakeholder groups.</w:t>
      </w:r>
    </w:p>
    <w:p w14:paraId="5FB34EB9" w14:textId="77777777" w:rsidR="00271C0D" w:rsidRPr="00271C0D" w:rsidRDefault="00271C0D" w:rsidP="00271C0D">
      <w:pPr>
        <w:pStyle w:val="whitespace-pre-wrap"/>
        <w:jc w:val="both"/>
        <w:rPr>
          <w:rFonts w:asciiTheme="minorHAnsi" w:hAnsiTheme="minorHAnsi"/>
          <w:b/>
          <w:bCs/>
          <w:sz w:val="22"/>
          <w:szCs w:val="22"/>
        </w:rPr>
      </w:pPr>
      <w:r w:rsidRPr="00271C0D">
        <w:rPr>
          <w:rFonts w:asciiTheme="minorHAnsi" w:hAnsiTheme="minorHAnsi"/>
          <w:b/>
          <w:bCs/>
          <w:sz w:val="22"/>
          <w:szCs w:val="22"/>
        </w:rPr>
        <w:t>Communication and Education Strategies</w:t>
      </w:r>
    </w:p>
    <w:p w14:paraId="7CDFF6D4" w14:textId="08C91ACB"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lastRenderedPageBreak/>
        <w:t xml:space="preserve">Effective communication </w:t>
      </w:r>
      <w:r w:rsidR="00921A51">
        <w:rPr>
          <w:rFonts w:asciiTheme="minorHAnsi" w:hAnsiTheme="minorHAnsi"/>
          <w:sz w:val="22"/>
          <w:szCs w:val="22"/>
        </w:rPr>
        <w:t xml:space="preserve">can </w:t>
      </w:r>
      <w:r w:rsidRPr="00271C0D">
        <w:rPr>
          <w:rFonts w:asciiTheme="minorHAnsi" w:hAnsiTheme="minorHAnsi"/>
          <w:sz w:val="22"/>
          <w:szCs w:val="22"/>
        </w:rPr>
        <w:t>transform York</w:t>
      </w:r>
      <w:r w:rsidR="00027B17">
        <w:rPr>
          <w:rFonts w:asciiTheme="minorHAnsi" w:hAnsiTheme="minorHAnsi"/>
          <w:sz w:val="22"/>
          <w:szCs w:val="22"/>
        </w:rPr>
        <w:t>’</w:t>
      </w:r>
      <w:r w:rsidRPr="00271C0D">
        <w:rPr>
          <w:rFonts w:asciiTheme="minorHAnsi" w:hAnsiTheme="minorHAnsi"/>
          <w:sz w:val="22"/>
          <w:szCs w:val="22"/>
        </w:rPr>
        <w:t>s green buildings into continuous education platforms that reinforce sustainability messages and demonstrate progress toward institutional goals.</w:t>
      </w:r>
    </w:p>
    <w:p w14:paraId="4FBC1B9E" w14:textId="2C50C719" w:rsidR="007E61A3" w:rsidRPr="007E61A3" w:rsidRDefault="007E61A3" w:rsidP="007E61A3">
      <w:pPr>
        <w:pStyle w:val="Caption"/>
        <w:keepNext/>
        <w:jc w:val="center"/>
        <w:rPr>
          <w:b/>
          <w:bCs/>
        </w:rPr>
      </w:pPr>
      <w:r w:rsidRPr="007E61A3">
        <w:rPr>
          <w:b/>
          <w:bCs/>
        </w:rPr>
        <w:t xml:space="preserve">Table </w:t>
      </w:r>
      <w:r w:rsidRPr="007E61A3">
        <w:rPr>
          <w:b/>
          <w:bCs/>
        </w:rPr>
        <w:fldChar w:fldCharType="begin"/>
      </w:r>
      <w:r w:rsidRPr="007E61A3">
        <w:rPr>
          <w:b/>
          <w:bCs/>
        </w:rPr>
        <w:instrText xml:space="preserve"> SEQ Table \* ARABIC </w:instrText>
      </w:r>
      <w:r w:rsidRPr="007E61A3">
        <w:rPr>
          <w:b/>
          <w:bCs/>
        </w:rPr>
        <w:fldChar w:fldCharType="separate"/>
      </w:r>
      <w:r>
        <w:rPr>
          <w:b/>
          <w:bCs/>
          <w:noProof/>
        </w:rPr>
        <w:t>5</w:t>
      </w:r>
      <w:r w:rsidRPr="007E61A3">
        <w:rPr>
          <w:b/>
          <w:bCs/>
        </w:rPr>
        <w:fldChar w:fldCharType="end"/>
      </w:r>
      <w:r w:rsidRPr="007E61A3">
        <w:rPr>
          <w:b/>
          <w:bCs/>
        </w:rPr>
        <w:t xml:space="preserve"> Communication Channels and Implementation Approach</w:t>
      </w:r>
    </w:p>
    <w:tbl>
      <w:tblPr>
        <w:tblStyle w:val="GridTable1Light-Accent4"/>
        <w:tblW w:w="0" w:type="auto"/>
        <w:tblLook w:val="04A0" w:firstRow="1" w:lastRow="0" w:firstColumn="1" w:lastColumn="0" w:noHBand="0" w:noVBand="1"/>
      </w:tblPr>
      <w:tblGrid>
        <w:gridCol w:w="2114"/>
        <w:gridCol w:w="1987"/>
        <w:gridCol w:w="2900"/>
        <w:gridCol w:w="2349"/>
      </w:tblGrid>
      <w:tr w:rsidR="00271C0D" w:rsidRPr="00271C0D" w14:paraId="6530A6D6" w14:textId="77777777" w:rsidTr="008A44F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0F407F2E" w14:textId="77777777" w:rsidR="00271C0D" w:rsidRPr="00271C0D" w:rsidRDefault="00271C0D" w:rsidP="00271C0D">
            <w:pPr>
              <w:pStyle w:val="whitespace-pre-wrap"/>
              <w:jc w:val="both"/>
              <w:rPr>
                <w:rFonts w:asciiTheme="minorHAnsi" w:hAnsiTheme="minorHAnsi"/>
                <w:sz w:val="20"/>
                <w:szCs w:val="20"/>
              </w:rPr>
            </w:pPr>
            <w:r w:rsidRPr="00271C0D">
              <w:rPr>
                <w:rFonts w:asciiTheme="minorHAnsi" w:hAnsiTheme="minorHAnsi"/>
                <w:sz w:val="20"/>
                <w:szCs w:val="20"/>
              </w:rPr>
              <w:t>Communication Method</w:t>
            </w:r>
          </w:p>
        </w:tc>
        <w:tc>
          <w:tcPr>
            <w:tcW w:w="0" w:type="auto"/>
            <w:hideMark/>
          </w:tcPr>
          <w:p w14:paraId="385BCE25"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Target Audience</w:t>
            </w:r>
          </w:p>
        </w:tc>
        <w:tc>
          <w:tcPr>
            <w:tcW w:w="0" w:type="auto"/>
            <w:hideMark/>
          </w:tcPr>
          <w:p w14:paraId="35003164"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Implementation Details</w:t>
            </w:r>
          </w:p>
        </w:tc>
        <w:tc>
          <w:tcPr>
            <w:tcW w:w="0" w:type="auto"/>
            <w:hideMark/>
          </w:tcPr>
          <w:p w14:paraId="63739BE6"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Success Metrics</w:t>
            </w:r>
          </w:p>
        </w:tc>
      </w:tr>
      <w:tr w:rsidR="00271C0D" w:rsidRPr="00271C0D" w14:paraId="3D2B1877"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167D493E"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Building Performance Dashboards</w:t>
            </w:r>
          </w:p>
        </w:tc>
        <w:tc>
          <w:tcPr>
            <w:tcW w:w="0" w:type="auto"/>
            <w:hideMark/>
          </w:tcPr>
          <w:p w14:paraId="5F6F9FC5"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All campus users</w:t>
            </w:r>
          </w:p>
        </w:tc>
        <w:tc>
          <w:tcPr>
            <w:tcW w:w="0" w:type="auto"/>
            <w:hideMark/>
          </w:tcPr>
          <w:p w14:paraId="58513702"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Real-time energy/water displays in high-traffic areas, mobile app integration</w:t>
            </w:r>
          </w:p>
        </w:tc>
        <w:tc>
          <w:tcPr>
            <w:tcW w:w="0" w:type="auto"/>
            <w:hideMark/>
          </w:tcPr>
          <w:p w14:paraId="3EB83DE4"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User engagement rates, behavioral change surveys</w:t>
            </w:r>
          </w:p>
        </w:tc>
      </w:tr>
      <w:tr w:rsidR="00271C0D" w:rsidRPr="00271C0D" w14:paraId="200CD9CB"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39564F65"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Educational Signage &amp; QR Codes</w:t>
            </w:r>
          </w:p>
        </w:tc>
        <w:tc>
          <w:tcPr>
            <w:tcW w:w="0" w:type="auto"/>
            <w:hideMark/>
          </w:tcPr>
          <w:p w14:paraId="3F309814"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Students, visitors, prospective students</w:t>
            </w:r>
          </w:p>
        </w:tc>
        <w:tc>
          <w:tcPr>
            <w:tcW w:w="0" w:type="auto"/>
            <w:hideMark/>
          </w:tcPr>
          <w:p w14:paraId="46470E8F"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Multilingual installations explaining building features and sustainability benefits</w:t>
            </w:r>
          </w:p>
        </w:tc>
        <w:tc>
          <w:tcPr>
            <w:tcW w:w="0" w:type="auto"/>
            <w:hideMark/>
          </w:tcPr>
          <w:p w14:paraId="2F064EE1"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QR code scans, social media shares, prospective student feedback</w:t>
            </w:r>
          </w:p>
        </w:tc>
      </w:tr>
      <w:tr w:rsidR="00271C0D" w:rsidRPr="00271C0D" w14:paraId="7476F24F"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280C023C"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Social Media &amp; Digital Platforms</w:t>
            </w:r>
          </w:p>
        </w:tc>
        <w:tc>
          <w:tcPr>
            <w:tcW w:w="0" w:type="auto"/>
            <w:hideMark/>
          </w:tcPr>
          <w:p w14:paraId="6FBE8831"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Broader community, alumni, prospective students</w:t>
            </w:r>
          </w:p>
        </w:tc>
        <w:tc>
          <w:tcPr>
            <w:tcW w:w="0" w:type="auto"/>
            <w:hideMark/>
          </w:tcPr>
          <w:p w14:paraId="7B7BBC2E"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Progress updates, achievement celebrations, virtual building tours</w:t>
            </w:r>
          </w:p>
        </w:tc>
        <w:tc>
          <w:tcPr>
            <w:tcW w:w="0" w:type="auto"/>
            <w:hideMark/>
          </w:tcPr>
          <w:p w14:paraId="54EF1EA1"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Follower growth, engagement rates, virtual tour completions</w:t>
            </w:r>
          </w:p>
        </w:tc>
      </w:tr>
      <w:tr w:rsidR="00271C0D" w:rsidRPr="00271C0D" w14:paraId="291E0C51" w14:textId="77777777" w:rsidTr="008A44F9">
        <w:tc>
          <w:tcPr>
            <w:cnfStyle w:val="001000000000" w:firstRow="0" w:lastRow="0" w:firstColumn="1" w:lastColumn="0" w:oddVBand="0" w:evenVBand="0" w:oddHBand="0" w:evenHBand="0" w:firstRowFirstColumn="0" w:firstRowLastColumn="0" w:lastRowFirstColumn="0" w:lastRowLastColumn="0"/>
            <w:tcW w:w="0" w:type="auto"/>
            <w:hideMark/>
          </w:tcPr>
          <w:p w14:paraId="123AA927"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Integration with Well-being Campaigns</w:t>
            </w:r>
          </w:p>
        </w:tc>
        <w:tc>
          <w:tcPr>
            <w:tcW w:w="0" w:type="auto"/>
            <w:hideMark/>
          </w:tcPr>
          <w:p w14:paraId="6F77F895"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Campus community</w:t>
            </w:r>
          </w:p>
        </w:tc>
        <w:tc>
          <w:tcPr>
            <w:tcW w:w="0" w:type="auto"/>
            <w:hideMark/>
          </w:tcPr>
          <w:p w14:paraId="68886DE7"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Connection messaging between environmental and personal health benefits</w:t>
            </w:r>
          </w:p>
        </w:tc>
        <w:tc>
          <w:tcPr>
            <w:tcW w:w="0" w:type="auto"/>
            <w:hideMark/>
          </w:tcPr>
          <w:p w14:paraId="54ED27D5"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Campaign participation rates, well-being survey results</w:t>
            </w:r>
          </w:p>
        </w:tc>
      </w:tr>
    </w:tbl>
    <w:p w14:paraId="00CB5586" w14:textId="10C433B4"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Digital dashboards positioned in building lobbies provide real-time performance data that creates teachable moments during daily campus activities. Social media integration extends messaging beyond campus boundaries, supporting recruitment efforts by showcasing York</w:t>
      </w:r>
      <w:r w:rsidR="00027B17">
        <w:rPr>
          <w:rFonts w:asciiTheme="minorHAnsi" w:hAnsiTheme="minorHAnsi"/>
          <w:sz w:val="22"/>
          <w:szCs w:val="22"/>
        </w:rPr>
        <w:t>’</w:t>
      </w:r>
      <w:r w:rsidRPr="00271C0D">
        <w:rPr>
          <w:rFonts w:asciiTheme="minorHAnsi" w:hAnsiTheme="minorHAnsi"/>
          <w:sz w:val="22"/>
          <w:szCs w:val="22"/>
        </w:rPr>
        <w:t>s sustainability leadership. The strategy specifically integrates with existing Well-being Strategy communication networks to maximize reach and reinforce connections between environmental sustainability and personal health.</w:t>
      </w:r>
    </w:p>
    <w:p w14:paraId="139C9DD8" w14:textId="2AD05C3B"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 xml:space="preserve">Educational signage incorporates QR codes linking to detailed building information, virtual tours, and sustainability education resources, creating opportunities for deeper engagement. This approach </w:t>
      </w:r>
      <w:r w:rsidR="0027088D">
        <w:rPr>
          <w:rFonts w:asciiTheme="minorHAnsi" w:hAnsiTheme="minorHAnsi"/>
          <w:sz w:val="22"/>
          <w:szCs w:val="22"/>
        </w:rPr>
        <w:t xml:space="preserve">can positively </w:t>
      </w:r>
      <w:r w:rsidRPr="00271C0D">
        <w:rPr>
          <w:rFonts w:asciiTheme="minorHAnsi" w:hAnsiTheme="minorHAnsi"/>
          <w:sz w:val="22"/>
          <w:szCs w:val="22"/>
        </w:rPr>
        <w:t>support international student recruitment by demonstrating York</w:t>
      </w:r>
      <w:r w:rsidR="00027B17">
        <w:rPr>
          <w:rFonts w:asciiTheme="minorHAnsi" w:hAnsiTheme="minorHAnsi"/>
          <w:sz w:val="22"/>
          <w:szCs w:val="22"/>
        </w:rPr>
        <w:t>’</w:t>
      </w:r>
      <w:r w:rsidRPr="00271C0D">
        <w:rPr>
          <w:rFonts w:asciiTheme="minorHAnsi" w:hAnsiTheme="minorHAnsi"/>
          <w:sz w:val="22"/>
          <w:szCs w:val="22"/>
        </w:rPr>
        <w:t>s commitment to global sustainability challenges.</w:t>
      </w:r>
    </w:p>
    <w:p w14:paraId="7A6028BB" w14:textId="77777777" w:rsidR="00271C0D" w:rsidRPr="00271C0D" w:rsidRDefault="00271C0D" w:rsidP="00271C0D">
      <w:pPr>
        <w:pStyle w:val="whitespace-pre-wrap"/>
        <w:jc w:val="both"/>
        <w:rPr>
          <w:rFonts w:asciiTheme="minorHAnsi" w:hAnsiTheme="minorHAnsi"/>
          <w:b/>
          <w:bCs/>
          <w:sz w:val="22"/>
          <w:szCs w:val="22"/>
        </w:rPr>
      </w:pPr>
      <w:r w:rsidRPr="00271C0D">
        <w:rPr>
          <w:rFonts w:asciiTheme="minorHAnsi" w:hAnsiTheme="minorHAnsi"/>
          <w:b/>
          <w:bCs/>
          <w:sz w:val="22"/>
          <w:szCs w:val="22"/>
        </w:rPr>
        <w:t>Implementation Timeline and Capacity Building</w:t>
      </w:r>
    </w:p>
    <w:p w14:paraId="56077B4A" w14:textId="168C10E4"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 xml:space="preserve">Implementation </w:t>
      </w:r>
      <w:r w:rsidR="00FD0E34">
        <w:rPr>
          <w:rFonts w:asciiTheme="minorHAnsi" w:hAnsiTheme="minorHAnsi"/>
          <w:sz w:val="22"/>
          <w:szCs w:val="22"/>
        </w:rPr>
        <w:t xml:space="preserve">will </w:t>
      </w:r>
      <w:r w:rsidRPr="00271C0D">
        <w:rPr>
          <w:rFonts w:asciiTheme="minorHAnsi" w:hAnsiTheme="minorHAnsi"/>
          <w:sz w:val="22"/>
          <w:szCs w:val="22"/>
        </w:rPr>
        <w:t>follow a phased approach that builds institutional capacity while generating early wins to maintain momentum and demonstrate value.</w:t>
      </w:r>
    </w:p>
    <w:p w14:paraId="5CF3494F" w14:textId="54D7159F" w:rsidR="007E61A3" w:rsidRPr="007E61A3" w:rsidRDefault="007E61A3" w:rsidP="007E61A3">
      <w:pPr>
        <w:pStyle w:val="Caption"/>
        <w:keepNext/>
        <w:jc w:val="center"/>
        <w:rPr>
          <w:b/>
          <w:bCs/>
          <w:sz w:val="20"/>
          <w:szCs w:val="20"/>
        </w:rPr>
      </w:pPr>
      <w:r w:rsidRPr="007E61A3">
        <w:rPr>
          <w:b/>
          <w:bCs/>
          <w:sz w:val="20"/>
          <w:szCs w:val="20"/>
        </w:rPr>
        <w:t xml:space="preserve">Table </w:t>
      </w:r>
      <w:r w:rsidRPr="007E61A3">
        <w:rPr>
          <w:b/>
          <w:bCs/>
          <w:sz w:val="20"/>
          <w:szCs w:val="20"/>
        </w:rPr>
        <w:fldChar w:fldCharType="begin"/>
      </w:r>
      <w:r w:rsidRPr="007E61A3">
        <w:rPr>
          <w:b/>
          <w:bCs/>
          <w:sz w:val="20"/>
          <w:szCs w:val="20"/>
        </w:rPr>
        <w:instrText xml:space="preserve"> SEQ Table \* ARABIC </w:instrText>
      </w:r>
      <w:r w:rsidRPr="007E61A3">
        <w:rPr>
          <w:b/>
          <w:bCs/>
          <w:sz w:val="20"/>
          <w:szCs w:val="20"/>
        </w:rPr>
        <w:fldChar w:fldCharType="separate"/>
      </w:r>
      <w:r>
        <w:rPr>
          <w:b/>
          <w:bCs/>
          <w:noProof/>
          <w:sz w:val="20"/>
          <w:szCs w:val="20"/>
        </w:rPr>
        <w:t>6</w:t>
      </w:r>
      <w:r w:rsidRPr="007E61A3">
        <w:rPr>
          <w:b/>
          <w:bCs/>
          <w:sz w:val="20"/>
          <w:szCs w:val="20"/>
        </w:rPr>
        <w:fldChar w:fldCharType="end"/>
      </w:r>
      <w:r w:rsidRPr="007E61A3">
        <w:rPr>
          <w:b/>
          <w:bCs/>
          <w:sz w:val="20"/>
          <w:szCs w:val="20"/>
        </w:rPr>
        <w:t xml:space="preserve"> Implementation Phases and Key Milestones</w:t>
      </w:r>
    </w:p>
    <w:tbl>
      <w:tblPr>
        <w:tblStyle w:val="GridTable1Light-Accent4"/>
        <w:tblW w:w="0" w:type="auto"/>
        <w:tblLook w:val="04A0" w:firstRow="1" w:lastRow="0" w:firstColumn="1" w:lastColumn="0" w:noHBand="0" w:noVBand="1"/>
      </w:tblPr>
      <w:tblGrid>
        <w:gridCol w:w="1516"/>
        <w:gridCol w:w="1092"/>
        <w:gridCol w:w="2134"/>
        <w:gridCol w:w="2105"/>
        <w:gridCol w:w="2503"/>
      </w:tblGrid>
      <w:tr w:rsidR="00FD0E34" w:rsidRPr="00271C0D" w14:paraId="298FA132" w14:textId="77777777" w:rsidTr="00271C0D">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0" w:type="auto"/>
            <w:hideMark/>
          </w:tcPr>
          <w:p w14:paraId="5AA465C9" w14:textId="77777777" w:rsidR="00271C0D" w:rsidRPr="00271C0D" w:rsidRDefault="00271C0D" w:rsidP="00271C0D">
            <w:pPr>
              <w:pStyle w:val="whitespace-pre-wrap"/>
              <w:jc w:val="both"/>
              <w:rPr>
                <w:rFonts w:asciiTheme="minorHAnsi" w:hAnsiTheme="minorHAnsi"/>
                <w:sz w:val="20"/>
                <w:szCs w:val="20"/>
              </w:rPr>
            </w:pPr>
            <w:r w:rsidRPr="00271C0D">
              <w:rPr>
                <w:rFonts w:asciiTheme="minorHAnsi" w:hAnsiTheme="minorHAnsi"/>
                <w:sz w:val="20"/>
                <w:szCs w:val="20"/>
              </w:rPr>
              <w:t>Phase</w:t>
            </w:r>
          </w:p>
        </w:tc>
        <w:tc>
          <w:tcPr>
            <w:tcW w:w="0" w:type="auto"/>
            <w:hideMark/>
          </w:tcPr>
          <w:p w14:paraId="6FE1C43B" w14:textId="7C827081"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Duration</w:t>
            </w:r>
          </w:p>
        </w:tc>
        <w:tc>
          <w:tcPr>
            <w:tcW w:w="0" w:type="auto"/>
            <w:hideMark/>
          </w:tcPr>
          <w:p w14:paraId="43320112"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Primary Activities</w:t>
            </w:r>
          </w:p>
        </w:tc>
        <w:tc>
          <w:tcPr>
            <w:tcW w:w="0" w:type="auto"/>
            <w:hideMark/>
          </w:tcPr>
          <w:p w14:paraId="705FF01E"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Capacity Building Focus</w:t>
            </w:r>
          </w:p>
        </w:tc>
        <w:tc>
          <w:tcPr>
            <w:tcW w:w="0" w:type="auto"/>
            <w:hideMark/>
          </w:tcPr>
          <w:p w14:paraId="2B8BB446" w14:textId="77777777" w:rsidR="00271C0D" w:rsidRPr="00271C0D" w:rsidRDefault="00271C0D" w:rsidP="00271C0D">
            <w:pPr>
              <w:pStyle w:val="whitespace-pre-wrap"/>
              <w:jc w:val="both"/>
              <w:cnfStyle w:val="100000000000" w:firstRow="1"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Key Deliverables</w:t>
            </w:r>
          </w:p>
        </w:tc>
      </w:tr>
      <w:tr w:rsidR="00FD0E34" w:rsidRPr="00271C0D" w14:paraId="79A82C3B" w14:textId="77777777" w:rsidTr="00271C0D">
        <w:tc>
          <w:tcPr>
            <w:cnfStyle w:val="001000000000" w:firstRow="0" w:lastRow="0" w:firstColumn="1" w:lastColumn="0" w:oddVBand="0" w:evenVBand="0" w:oddHBand="0" w:evenHBand="0" w:firstRowFirstColumn="0" w:firstRowLastColumn="0" w:lastRowFirstColumn="0" w:lastRowLastColumn="0"/>
            <w:tcW w:w="0" w:type="auto"/>
            <w:hideMark/>
          </w:tcPr>
          <w:p w14:paraId="0627C4BF"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Foundation Building</w:t>
            </w:r>
          </w:p>
        </w:tc>
        <w:tc>
          <w:tcPr>
            <w:tcW w:w="0" w:type="auto"/>
            <w:hideMark/>
          </w:tcPr>
          <w:p w14:paraId="3EB39519"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Months 1-6</w:t>
            </w:r>
          </w:p>
        </w:tc>
        <w:tc>
          <w:tcPr>
            <w:tcW w:w="0" w:type="auto"/>
            <w:hideMark/>
          </w:tcPr>
          <w:p w14:paraId="0A6BC564"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Stakeholder mapping, baseline assessments, initial training development</w:t>
            </w:r>
          </w:p>
        </w:tc>
        <w:tc>
          <w:tcPr>
            <w:tcW w:w="0" w:type="auto"/>
            <w:hideMark/>
          </w:tcPr>
          <w:p w14:paraId="6380309E"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Staff training programs, communication infrastructure setup</w:t>
            </w:r>
          </w:p>
        </w:tc>
        <w:tc>
          <w:tcPr>
            <w:tcW w:w="0" w:type="auto"/>
            <w:hideMark/>
          </w:tcPr>
          <w:p w14:paraId="47D60C71"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Training curricula, communication protocols, baseline metrics</w:t>
            </w:r>
          </w:p>
        </w:tc>
      </w:tr>
      <w:tr w:rsidR="00FD0E34" w:rsidRPr="00271C0D" w14:paraId="23A05185" w14:textId="77777777" w:rsidTr="00271C0D">
        <w:tc>
          <w:tcPr>
            <w:cnfStyle w:val="001000000000" w:firstRow="0" w:lastRow="0" w:firstColumn="1" w:lastColumn="0" w:oddVBand="0" w:evenVBand="0" w:oddHBand="0" w:evenHBand="0" w:firstRowFirstColumn="0" w:firstRowLastColumn="0" w:lastRowFirstColumn="0" w:lastRowLastColumn="0"/>
            <w:tcW w:w="0" w:type="auto"/>
            <w:hideMark/>
          </w:tcPr>
          <w:p w14:paraId="43B5C3D3"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lastRenderedPageBreak/>
              <w:t>Pilot Launch</w:t>
            </w:r>
          </w:p>
        </w:tc>
        <w:tc>
          <w:tcPr>
            <w:tcW w:w="0" w:type="auto"/>
            <w:hideMark/>
          </w:tcPr>
          <w:p w14:paraId="2F26612D"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Months 7-12</w:t>
            </w:r>
          </w:p>
        </w:tc>
        <w:tc>
          <w:tcPr>
            <w:tcW w:w="0" w:type="auto"/>
            <w:hideMark/>
          </w:tcPr>
          <w:p w14:paraId="6E6AC7EC"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First building integration, ambassador program launch, feedback systems</w:t>
            </w:r>
          </w:p>
        </w:tc>
        <w:tc>
          <w:tcPr>
            <w:tcW w:w="0" w:type="auto"/>
            <w:hideMark/>
          </w:tcPr>
          <w:p w14:paraId="11849B01"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Student ambassador network, peer education models</w:t>
            </w:r>
          </w:p>
        </w:tc>
        <w:tc>
          <w:tcPr>
            <w:tcW w:w="0" w:type="auto"/>
            <w:hideMark/>
          </w:tcPr>
          <w:p w14:paraId="273B28FE"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Pilot program results, ambassador training completion, feedback systems operational</w:t>
            </w:r>
          </w:p>
        </w:tc>
      </w:tr>
      <w:tr w:rsidR="00FD0E34" w:rsidRPr="00271C0D" w14:paraId="440439E4" w14:textId="77777777" w:rsidTr="00271C0D">
        <w:tc>
          <w:tcPr>
            <w:cnfStyle w:val="001000000000" w:firstRow="0" w:lastRow="0" w:firstColumn="1" w:lastColumn="0" w:oddVBand="0" w:evenVBand="0" w:oddHBand="0" w:evenHBand="0" w:firstRowFirstColumn="0" w:firstRowLastColumn="0" w:lastRowFirstColumn="0" w:lastRowLastColumn="0"/>
            <w:tcW w:w="0" w:type="auto"/>
            <w:hideMark/>
          </w:tcPr>
          <w:p w14:paraId="58642C76"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Campus Expansion</w:t>
            </w:r>
          </w:p>
        </w:tc>
        <w:tc>
          <w:tcPr>
            <w:tcW w:w="0" w:type="auto"/>
            <w:hideMark/>
          </w:tcPr>
          <w:p w14:paraId="160AA035"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Months 13-24</w:t>
            </w:r>
          </w:p>
        </w:tc>
        <w:tc>
          <w:tcPr>
            <w:tcW w:w="0" w:type="auto"/>
            <w:hideMark/>
          </w:tcPr>
          <w:p w14:paraId="30B0D5F7"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Multi-building rollout, advanced training, policy integration</w:t>
            </w:r>
          </w:p>
        </w:tc>
        <w:tc>
          <w:tcPr>
            <w:tcW w:w="0" w:type="auto"/>
            <w:hideMark/>
          </w:tcPr>
          <w:p w14:paraId="0B0D2DDD"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Advanced technical skills, policy development capabilities</w:t>
            </w:r>
          </w:p>
        </w:tc>
        <w:tc>
          <w:tcPr>
            <w:tcW w:w="0" w:type="auto"/>
            <w:hideMark/>
          </w:tcPr>
          <w:p w14:paraId="13A5358E"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Campus-wide program deployment, policy updates, performance improvements</w:t>
            </w:r>
          </w:p>
        </w:tc>
      </w:tr>
      <w:tr w:rsidR="00FD0E34" w:rsidRPr="00271C0D" w14:paraId="32468B38" w14:textId="77777777" w:rsidTr="00271C0D">
        <w:tc>
          <w:tcPr>
            <w:cnfStyle w:val="001000000000" w:firstRow="0" w:lastRow="0" w:firstColumn="1" w:lastColumn="0" w:oddVBand="0" w:evenVBand="0" w:oddHBand="0" w:evenHBand="0" w:firstRowFirstColumn="0" w:firstRowLastColumn="0" w:lastRowFirstColumn="0" w:lastRowLastColumn="0"/>
            <w:tcW w:w="0" w:type="auto"/>
            <w:hideMark/>
          </w:tcPr>
          <w:p w14:paraId="712DA73B" w14:textId="77777777" w:rsidR="00271C0D" w:rsidRPr="00271C0D" w:rsidRDefault="00271C0D" w:rsidP="00B67AE4">
            <w:pPr>
              <w:pStyle w:val="whitespace-pre-wrap"/>
              <w:rPr>
                <w:rFonts w:asciiTheme="minorHAnsi" w:hAnsiTheme="minorHAnsi"/>
                <w:b w:val="0"/>
                <w:bCs w:val="0"/>
                <w:sz w:val="20"/>
                <w:szCs w:val="20"/>
              </w:rPr>
            </w:pPr>
            <w:r w:rsidRPr="00271C0D">
              <w:rPr>
                <w:rFonts w:asciiTheme="minorHAnsi" w:hAnsiTheme="minorHAnsi"/>
                <w:b w:val="0"/>
                <w:bCs w:val="0"/>
                <w:sz w:val="20"/>
                <w:szCs w:val="20"/>
              </w:rPr>
              <w:t>Optimization &amp; Leadership</w:t>
            </w:r>
          </w:p>
        </w:tc>
        <w:tc>
          <w:tcPr>
            <w:tcW w:w="0" w:type="auto"/>
            <w:hideMark/>
          </w:tcPr>
          <w:p w14:paraId="7F75869B"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Months 25+</w:t>
            </w:r>
          </w:p>
        </w:tc>
        <w:tc>
          <w:tcPr>
            <w:tcW w:w="0" w:type="auto"/>
            <w:hideMark/>
          </w:tcPr>
          <w:p w14:paraId="5AB9D208"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Continuous improvement, external partnerships, innovation integration</w:t>
            </w:r>
          </w:p>
        </w:tc>
        <w:tc>
          <w:tcPr>
            <w:tcW w:w="0" w:type="auto"/>
            <w:hideMark/>
          </w:tcPr>
          <w:p w14:paraId="25BB6223"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Leadership development, external collaboration skills</w:t>
            </w:r>
          </w:p>
        </w:tc>
        <w:tc>
          <w:tcPr>
            <w:tcW w:w="0" w:type="auto"/>
            <w:hideMark/>
          </w:tcPr>
          <w:p w14:paraId="20B09B67" w14:textId="77777777" w:rsidR="00271C0D" w:rsidRPr="00271C0D" w:rsidRDefault="00271C0D" w:rsidP="00B67AE4">
            <w:pPr>
              <w:pStyle w:val="whitespace-pre-wrap"/>
              <w:cnfStyle w:val="000000000000" w:firstRow="0" w:lastRow="0" w:firstColumn="0" w:lastColumn="0" w:oddVBand="0" w:evenVBand="0" w:oddHBand="0" w:evenHBand="0" w:firstRowFirstColumn="0" w:firstRowLastColumn="0" w:lastRowFirstColumn="0" w:lastRowLastColumn="0"/>
              <w:rPr>
                <w:rFonts w:asciiTheme="minorHAnsi" w:hAnsiTheme="minorHAnsi"/>
                <w:sz w:val="20"/>
                <w:szCs w:val="20"/>
              </w:rPr>
            </w:pPr>
            <w:r w:rsidRPr="00271C0D">
              <w:rPr>
                <w:rFonts w:asciiTheme="minorHAnsi" w:hAnsiTheme="minorHAnsi"/>
                <w:sz w:val="20"/>
                <w:szCs w:val="20"/>
              </w:rPr>
              <w:t>External recognition, partnership agreements, innovation implementations</w:t>
            </w:r>
          </w:p>
        </w:tc>
      </w:tr>
    </w:tbl>
    <w:p w14:paraId="5757C426" w14:textId="0B1D3B20"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Skills development programs align with York</w:t>
      </w:r>
      <w:r w:rsidR="00027B17">
        <w:rPr>
          <w:rFonts w:asciiTheme="minorHAnsi" w:hAnsiTheme="minorHAnsi"/>
          <w:sz w:val="22"/>
          <w:szCs w:val="22"/>
        </w:rPr>
        <w:t>’</w:t>
      </w:r>
      <w:r w:rsidRPr="00271C0D">
        <w:rPr>
          <w:rFonts w:asciiTheme="minorHAnsi" w:hAnsiTheme="minorHAnsi"/>
          <w:sz w:val="22"/>
          <w:szCs w:val="22"/>
        </w:rPr>
        <w:t>s existing professional development frameworks and MHCC Standards implementation. The ambassador program creates peer education networks that leverage student social connections while providing leadership development opportunities. Policy integration ensures that engagement strategies become embedded in institutional operations rather than remaining as separate initiatives.</w:t>
      </w:r>
    </w:p>
    <w:p w14:paraId="5D0CD9B8" w14:textId="3E735030" w:rsidR="00271C0D" w:rsidRPr="00271C0D" w:rsidRDefault="00FD0E34" w:rsidP="00271C0D">
      <w:pPr>
        <w:pStyle w:val="whitespace-pre-wrap"/>
        <w:jc w:val="both"/>
        <w:rPr>
          <w:rFonts w:asciiTheme="minorHAnsi" w:hAnsiTheme="minorHAnsi"/>
          <w:sz w:val="22"/>
          <w:szCs w:val="22"/>
        </w:rPr>
      </w:pPr>
      <w:r>
        <w:rPr>
          <w:rFonts w:asciiTheme="minorHAnsi" w:hAnsiTheme="minorHAnsi"/>
          <w:sz w:val="22"/>
          <w:szCs w:val="22"/>
        </w:rPr>
        <w:t>Moreover, p</w:t>
      </w:r>
      <w:r w:rsidR="00271C0D" w:rsidRPr="00271C0D">
        <w:rPr>
          <w:rFonts w:asciiTheme="minorHAnsi" w:hAnsiTheme="minorHAnsi"/>
          <w:sz w:val="22"/>
          <w:szCs w:val="22"/>
        </w:rPr>
        <w:t xml:space="preserve">articipatory design processes </w:t>
      </w:r>
      <w:r>
        <w:rPr>
          <w:rFonts w:asciiTheme="minorHAnsi" w:hAnsiTheme="minorHAnsi"/>
          <w:sz w:val="22"/>
          <w:szCs w:val="22"/>
        </w:rPr>
        <w:t xml:space="preserve">will </w:t>
      </w:r>
      <w:r w:rsidR="00271C0D" w:rsidRPr="00271C0D">
        <w:rPr>
          <w:rFonts w:asciiTheme="minorHAnsi" w:hAnsiTheme="minorHAnsi"/>
          <w:sz w:val="22"/>
          <w:szCs w:val="22"/>
        </w:rPr>
        <w:t>engage diverse stakeholders in building planning and post-occupancy evaluation, building community ownership while ensuring that green building features meet actual user needs. This approach particularly emphasizes culturally responsive design that reflects York</w:t>
      </w:r>
      <w:r w:rsidR="00027B17">
        <w:rPr>
          <w:rFonts w:asciiTheme="minorHAnsi" w:hAnsiTheme="minorHAnsi"/>
          <w:sz w:val="22"/>
          <w:szCs w:val="22"/>
        </w:rPr>
        <w:t>’</w:t>
      </w:r>
      <w:r w:rsidR="00271C0D" w:rsidRPr="00271C0D">
        <w:rPr>
          <w:rFonts w:asciiTheme="minorHAnsi" w:hAnsiTheme="minorHAnsi"/>
          <w:sz w:val="22"/>
          <w:szCs w:val="22"/>
        </w:rPr>
        <w:t>s diverse community composition.</w:t>
      </w:r>
    </w:p>
    <w:p w14:paraId="5109419B" w14:textId="77777777" w:rsidR="00271C0D" w:rsidRPr="00271C0D" w:rsidRDefault="00271C0D" w:rsidP="00271C0D">
      <w:pPr>
        <w:pStyle w:val="whitespace-pre-wrap"/>
        <w:jc w:val="both"/>
        <w:rPr>
          <w:rFonts w:asciiTheme="minorHAnsi" w:hAnsiTheme="minorHAnsi"/>
          <w:b/>
          <w:bCs/>
          <w:sz w:val="22"/>
          <w:szCs w:val="22"/>
        </w:rPr>
      </w:pPr>
      <w:r w:rsidRPr="00271C0D">
        <w:rPr>
          <w:rFonts w:asciiTheme="minorHAnsi" w:hAnsiTheme="minorHAnsi"/>
          <w:b/>
          <w:bCs/>
          <w:sz w:val="22"/>
          <w:szCs w:val="22"/>
        </w:rPr>
        <w:t>Measuring Impact and Continuous Improvement</w:t>
      </w:r>
    </w:p>
    <w:p w14:paraId="6B26C860" w14:textId="627BB4CC"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The evaluation framework tracks both quantitative performance metrics and qualitative community outcomes, ensuring that engagement strategies contribute to York</w:t>
      </w:r>
      <w:r w:rsidR="00027B17">
        <w:rPr>
          <w:rFonts w:asciiTheme="minorHAnsi" w:hAnsiTheme="minorHAnsi"/>
          <w:sz w:val="22"/>
          <w:szCs w:val="22"/>
        </w:rPr>
        <w:t>’</w:t>
      </w:r>
      <w:r w:rsidRPr="00271C0D">
        <w:rPr>
          <w:rFonts w:asciiTheme="minorHAnsi" w:hAnsiTheme="minorHAnsi"/>
          <w:sz w:val="22"/>
          <w:szCs w:val="22"/>
        </w:rPr>
        <w:t>s broader sustainability and institutional objectives. Key metrics include participation rates in educational programs, satisfaction surveys, and behavioral change indicators such as energy conservation behaviors and sustainable transportation adoption. Academic impact measurement tracks research publications, grant funding, and curriculum integration related to building performance.</w:t>
      </w:r>
    </w:p>
    <w:p w14:paraId="49E1E863" w14:textId="2096FD5B" w:rsidR="00271C0D" w:rsidRPr="00271C0D" w:rsidRDefault="00271C0D" w:rsidP="00271C0D">
      <w:pPr>
        <w:pStyle w:val="whitespace-pre-wrap"/>
        <w:jc w:val="both"/>
        <w:rPr>
          <w:rFonts w:asciiTheme="minorHAnsi" w:hAnsiTheme="minorHAnsi"/>
          <w:sz w:val="22"/>
          <w:szCs w:val="22"/>
        </w:rPr>
      </w:pPr>
      <w:r w:rsidRPr="00271C0D">
        <w:rPr>
          <w:rFonts w:asciiTheme="minorHAnsi" w:hAnsiTheme="minorHAnsi"/>
          <w:sz w:val="22"/>
          <w:szCs w:val="22"/>
        </w:rPr>
        <w:t xml:space="preserve">Recruitment benefits </w:t>
      </w:r>
      <w:r w:rsidR="002D10E5">
        <w:rPr>
          <w:rFonts w:asciiTheme="minorHAnsi" w:hAnsiTheme="minorHAnsi"/>
          <w:sz w:val="22"/>
          <w:szCs w:val="22"/>
        </w:rPr>
        <w:t>can be</w:t>
      </w:r>
      <w:r w:rsidRPr="00271C0D">
        <w:rPr>
          <w:rFonts w:asciiTheme="minorHAnsi" w:hAnsiTheme="minorHAnsi"/>
          <w:sz w:val="22"/>
          <w:szCs w:val="22"/>
        </w:rPr>
        <w:t xml:space="preserve"> assessed through prospective student surveys, enrollment data analysis, and institutional reputation metrics. The framework includes quarterly review processes with stakeholder advisory committees to ensure strategies evolve with changing community needs and emerging best practices. This approach aligns with York</w:t>
      </w:r>
      <w:r w:rsidR="00027B17">
        <w:rPr>
          <w:rFonts w:asciiTheme="minorHAnsi" w:hAnsiTheme="minorHAnsi"/>
          <w:sz w:val="22"/>
          <w:szCs w:val="22"/>
        </w:rPr>
        <w:t>’</w:t>
      </w:r>
      <w:r w:rsidRPr="00271C0D">
        <w:rPr>
          <w:rFonts w:asciiTheme="minorHAnsi" w:hAnsiTheme="minorHAnsi"/>
          <w:sz w:val="22"/>
          <w:szCs w:val="22"/>
        </w:rPr>
        <w:t>s broader sustainability reporting requirements for AASHE STARS and THE Impact Rankings while supporting the university</w:t>
      </w:r>
      <w:r w:rsidR="00027B17">
        <w:rPr>
          <w:rFonts w:asciiTheme="minorHAnsi" w:hAnsiTheme="minorHAnsi"/>
          <w:sz w:val="22"/>
          <w:szCs w:val="22"/>
        </w:rPr>
        <w:t>’</w:t>
      </w:r>
      <w:r w:rsidRPr="00271C0D">
        <w:rPr>
          <w:rFonts w:asciiTheme="minorHAnsi" w:hAnsiTheme="minorHAnsi"/>
          <w:sz w:val="22"/>
          <w:szCs w:val="22"/>
        </w:rPr>
        <w:t>s positioning as a sustainability leader among Canadian institutions.</w:t>
      </w:r>
    </w:p>
    <w:p w14:paraId="7A9CEBD0" w14:textId="77777777" w:rsidR="00271C0D" w:rsidRPr="00271C0D" w:rsidRDefault="00271C0D" w:rsidP="00271C0D">
      <w:pPr>
        <w:pStyle w:val="whitespace-pre-wrap"/>
        <w:jc w:val="both"/>
        <w:rPr>
          <w:rFonts w:asciiTheme="minorHAnsi" w:hAnsiTheme="minorHAnsi"/>
          <w:b/>
          <w:bCs/>
          <w:sz w:val="22"/>
          <w:szCs w:val="22"/>
        </w:rPr>
      </w:pPr>
      <w:r w:rsidRPr="00271C0D">
        <w:rPr>
          <w:rFonts w:asciiTheme="minorHAnsi" w:hAnsiTheme="minorHAnsi"/>
          <w:b/>
          <w:bCs/>
          <w:sz w:val="22"/>
          <w:szCs w:val="22"/>
        </w:rPr>
        <w:t>Innovation and Future Integration</w:t>
      </w:r>
    </w:p>
    <w:p w14:paraId="710F8032" w14:textId="46F206A0" w:rsidR="00271C0D" w:rsidRPr="00271C0D" w:rsidRDefault="00CC5185" w:rsidP="00271C0D">
      <w:pPr>
        <w:pStyle w:val="whitespace-pre-wrap"/>
        <w:jc w:val="both"/>
        <w:rPr>
          <w:rFonts w:asciiTheme="minorHAnsi" w:hAnsiTheme="minorHAnsi"/>
          <w:sz w:val="22"/>
          <w:szCs w:val="22"/>
        </w:rPr>
      </w:pPr>
      <w:r>
        <w:rPr>
          <w:rFonts w:asciiTheme="minorHAnsi" w:hAnsiTheme="minorHAnsi"/>
          <w:sz w:val="22"/>
          <w:szCs w:val="22"/>
        </w:rPr>
        <w:lastRenderedPageBreak/>
        <w:t>In the long term, e</w:t>
      </w:r>
      <w:r w:rsidR="002D10E5" w:rsidRPr="002D10E5">
        <w:rPr>
          <w:rFonts w:asciiTheme="minorHAnsi" w:hAnsiTheme="minorHAnsi"/>
          <w:sz w:val="22"/>
          <w:szCs w:val="22"/>
        </w:rPr>
        <w:t xml:space="preserve">merging digital technologies, including virtual reality building experiences and AI-powered personalized sustainability recommendations, </w:t>
      </w:r>
      <w:r>
        <w:rPr>
          <w:rFonts w:asciiTheme="minorHAnsi" w:hAnsiTheme="minorHAnsi"/>
          <w:sz w:val="22"/>
          <w:szCs w:val="22"/>
        </w:rPr>
        <w:t xml:space="preserve">could </w:t>
      </w:r>
      <w:r w:rsidR="002D10E5" w:rsidRPr="002D10E5">
        <w:rPr>
          <w:rFonts w:asciiTheme="minorHAnsi" w:hAnsiTheme="minorHAnsi"/>
          <w:sz w:val="22"/>
          <w:szCs w:val="22"/>
        </w:rPr>
        <w:t>offer opportunities to improve engagement effectiveness. The strategy positions York to lead collaborative research initiatives with peer institutions while ensuring community engagement approaches scale efficiently with future campus development and evolving sustainability commitments aligned with the 2040 net</w:t>
      </w:r>
      <w:r>
        <w:rPr>
          <w:rFonts w:asciiTheme="minorHAnsi" w:hAnsiTheme="minorHAnsi"/>
          <w:sz w:val="22"/>
          <w:szCs w:val="22"/>
        </w:rPr>
        <w:t>-</w:t>
      </w:r>
      <w:r w:rsidR="002D10E5" w:rsidRPr="002D10E5">
        <w:rPr>
          <w:rFonts w:asciiTheme="minorHAnsi" w:hAnsiTheme="minorHAnsi"/>
          <w:sz w:val="22"/>
          <w:szCs w:val="22"/>
        </w:rPr>
        <w:t>zero goal.</w:t>
      </w:r>
    </w:p>
    <w:p w14:paraId="261650B8" w14:textId="77777777" w:rsidR="00052B3F" w:rsidRPr="00DC0A45" w:rsidRDefault="00052B3F" w:rsidP="00DC0A45">
      <w:pPr>
        <w:pStyle w:val="Heading2"/>
      </w:pPr>
      <w:bookmarkStart w:id="54" w:name="_Toc202743019"/>
      <w:r w:rsidRPr="00DC0A45">
        <w:t>Implementation Plan</w:t>
      </w:r>
      <w:bookmarkEnd w:id="54"/>
    </w:p>
    <w:p w14:paraId="41236501" w14:textId="266A71F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successful execution of York University</w:t>
      </w:r>
      <w:r w:rsidR="00027B17">
        <w:rPr>
          <w:rFonts w:asciiTheme="minorHAnsi" w:hAnsiTheme="minorHAnsi"/>
          <w:sz w:val="22"/>
          <w:szCs w:val="22"/>
        </w:rPr>
        <w:t>’</w:t>
      </w:r>
      <w:r w:rsidRPr="00D06382">
        <w:rPr>
          <w:rFonts w:asciiTheme="minorHAnsi" w:hAnsiTheme="minorHAnsi"/>
          <w:sz w:val="22"/>
          <w:szCs w:val="22"/>
        </w:rPr>
        <w:t>s Net Zero Building Standard requires a comprehensive, phased approach that addresses new construction, existing building retrofits, and the broader institutional context. This implementation plan outlines key strategies, timelines, potential challenges, and mitigation measures to realize YU</w:t>
      </w:r>
      <w:r w:rsidR="00027B17">
        <w:rPr>
          <w:rFonts w:asciiTheme="minorHAnsi" w:hAnsiTheme="minorHAnsi"/>
          <w:sz w:val="22"/>
          <w:szCs w:val="22"/>
        </w:rPr>
        <w:t>’</w:t>
      </w:r>
      <w:r w:rsidRPr="00D06382">
        <w:rPr>
          <w:rFonts w:asciiTheme="minorHAnsi" w:hAnsiTheme="minorHAnsi"/>
          <w:sz w:val="22"/>
          <w:szCs w:val="22"/>
        </w:rPr>
        <w:t>s green building goals effectively.</w:t>
      </w:r>
    </w:p>
    <w:p w14:paraId="05E6C01E"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Phase 1: Foundational Work (Year 1-2)</w:t>
      </w:r>
    </w:p>
    <w:p w14:paraId="0064EFD5"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1.1 Policy Development and Adoption- Develop and formally adopt the Net Zero Building Standard as official university policy, applicable to all capital projects (new construction and major renovations). This process should involve key stakeholders, including senior administration, facilities management, academic leadership, and student representatives.</w:t>
      </w:r>
    </w:p>
    <w:p w14:paraId="3B5162F2"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1.2 Governance Structure- Establish a Green Building Advisory Committee comprising representatives from facilities management, sustainability office, faculty experts, students, and external consultants. This committee will oversee the implementation of the standard, review project proposals, and make recommendations for continuous improvement.</w:t>
      </w:r>
    </w:p>
    <w:p w14:paraId="3C4DA9F8" w14:textId="132F721C"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 xml:space="preserve">1.3 Capacity Building- Develop internal expertise on high-performance building design and technologies within the facilities management team. Implement training programs for project managers, facilities </w:t>
      </w:r>
      <w:r w:rsidR="00406BF9" w:rsidRPr="00D06382">
        <w:rPr>
          <w:rFonts w:asciiTheme="minorHAnsi" w:hAnsiTheme="minorHAnsi"/>
          <w:sz w:val="22"/>
          <w:szCs w:val="22"/>
        </w:rPr>
        <w:t>staff and</w:t>
      </w:r>
      <w:r w:rsidRPr="00D06382">
        <w:rPr>
          <w:rFonts w:asciiTheme="minorHAnsi" w:hAnsiTheme="minorHAnsi"/>
          <w:sz w:val="22"/>
          <w:szCs w:val="22"/>
        </w:rPr>
        <w:t xml:space="preserve"> building occupants on net zero building operations and maintenance.</w:t>
      </w:r>
    </w:p>
    <w:p w14:paraId="0A7E5EF9"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1.4 Baseline Assessment- Conduct a comprehensive audit of the existing building stock to establish baseline energy performance, carbon emissions, and retrofit potential. This will inform prioritization of retrofit projects and help set realistic targets for the overall building portfolio.</w:t>
      </w:r>
    </w:p>
    <w:p w14:paraId="2D0E1BB3" w14:textId="6C116E21"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1.5 Financial Mechanisms- Establish a Green Revolving Fund, similar to the University of Toronto</w:t>
      </w:r>
      <w:r w:rsidR="00027B17">
        <w:rPr>
          <w:rFonts w:asciiTheme="minorHAnsi" w:hAnsiTheme="minorHAnsi"/>
          <w:sz w:val="22"/>
          <w:szCs w:val="22"/>
        </w:rPr>
        <w:t>’</w:t>
      </w:r>
      <w:r w:rsidRPr="00D06382">
        <w:rPr>
          <w:rFonts w:asciiTheme="minorHAnsi" w:hAnsiTheme="minorHAnsi"/>
          <w:sz w:val="22"/>
          <w:szCs w:val="22"/>
        </w:rPr>
        <w:t>s $8.5 million Utilities Reduction Revolving Fund, to finance energy efficiency projects and reinvest savings into further improvements. Explore additional funding sources including government grants, alumni donations, and green bonds.</w:t>
      </w:r>
    </w:p>
    <w:p w14:paraId="11496012"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1.6 Resilience Assessment: Conduct a campus-wide climate risk assessment to inform resilience strategies in building design and retrofits</w:t>
      </w:r>
    </w:p>
    <w:p w14:paraId="46F7554D"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lastRenderedPageBreak/>
        <w:t>Phase 2: Pilot Projects and Initial Implementation (Year 2-4)</w:t>
      </w:r>
    </w:p>
    <w:p w14:paraId="19903EBF" w14:textId="6298C67F"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2.1 New Construction Pilot- Select a high-profile new construction project to serve as a pilot that incorporates all aspects of the enhanced standard for the Net Zero Building Standard. This project should aim to meet or exceed the most stringent requirements of the standard, serving as a learning opportunity and demonstration of YU</w:t>
      </w:r>
      <w:r w:rsidR="00027B17">
        <w:rPr>
          <w:rFonts w:asciiTheme="minorHAnsi" w:hAnsiTheme="minorHAnsi"/>
          <w:sz w:val="22"/>
          <w:szCs w:val="22"/>
        </w:rPr>
        <w:t>’</w:t>
      </w:r>
      <w:r w:rsidRPr="00D06382">
        <w:rPr>
          <w:rFonts w:asciiTheme="minorHAnsi" w:hAnsiTheme="minorHAnsi"/>
          <w:sz w:val="22"/>
          <w:szCs w:val="22"/>
        </w:rPr>
        <w:t xml:space="preserve">s commitment to sustainability. </w:t>
      </w:r>
    </w:p>
    <w:p w14:paraId="4DC3DBB6" w14:textId="229B9579"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2.2 Existing Building Retrofit Pilot- Identify 2-3 existing buildings representing different typologies (e.g., academic, residential, research) for deep energy retrofits. Develop and implement comprehensive retrofit plans aligned with the standard</w:t>
      </w:r>
      <w:r w:rsidR="00027B17">
        <w:rPr>
          <w:rFonts w:asciiTheme="minorHAnsi" w:hAnsiTheme="minorHAnsi"/>
          <w:sz w:val="22"/>
          <w:szCs w:val="22"/>
        </w:rPr>
        <w:t>’</w:t>
      </w:r>
      <w:r w:rsidRPr="00D06382">
        <w:rPr>
          <w:rFonts w:asciiTheme="minorHAnsi" w:hAnsiTheme="minorHAnsi"/>
          <w:sz w:val="22"/>
          <w:szCs w:val="22"/>
        </w:rPr>
        <w:t>s requirements for existing buildings.</w:t>
      </w:r>
    </w:p>
    <w:p w14:paraId="6DD0A30A"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2.3 Integrated Design Process- Mandate the use of Integrated Design Process (IDP) for all new construction and major renovation projects. This collaborative approach brings together all stakeholders from project inception to ensure high-performance, cost-effective designs.</w:t>
      </w:r>
    </w:p>
    <w:p w14:paraId="780BB33C" w14:textId="3F6DB719"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2.4 Performance-Based Procurement- Implement performance-based procurement processes that emphasize energy and carbon emission targets rather than prescriptive requirements. This approach allows for innovation and flexibility in meeting the standard</w:t>
      </w:r>
      <w:r w:rsidR="00027B17">
        <w:rPr>
          <w:rFonts w:asciiTheme="minorHAnsi" w:hAnsiTheme="minorHAnsi"/>
          <w:sz w:val="22"/>
          <w:szCs w:val="22"/>
        </w:rPr>
        <w:t>’</w:t>
      </w:r>
      <w:r w:rsidRPr="00D06382">
        <w:rPr>
          <w:rFonts w:asciiTheme="minorHAnsi" w:hAnsiTheme="minorHAnsi"/>
          <w:sz w:val="22"/>
          <w:szCs w:val="22"/>
        </w:rPr>
        <w:t>s goals.</w:t>
      </w:r>
    </w:p>
    <w:p w14:paraId="73E807B2"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2.5 Monitoring and Verification Systems- Install advanced building automation systems and energy metering in pilot projects to enable real-time monitoring of energy performance, occupancy patterns, and indoor environmental quality. This data will inform ongoing optimization and provide valuable insights for future projects.</w:t>
      </w:r>
    </w:p>
    <w:p w14:paraId="277C1E18"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Phase 3: Full-Scale Implementation and Continuous Improvement (Year 5 onwards)</w:t>
      </w:r>
    </w:p>
    <w:p w14:paraId="5F9B3DE2"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3.1 Campus-wide Rollout- Apply the Net Zero Building Standard to all new construction and major renovation projects across campus. Develop a 20-year retrofit plan for the existing building stock, prioritizing buildings based on energy performance, carbon intensity, and renovation cycles.</w:t>
      </w:r>
    </w:p>
    <w:p w14:paraId="61A1E5A9"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3.2 Green Infrastructure- Integration Implement campus-wide green infrastructure solutions as outlined in the standard, including bioswales, rainwater harvesting systems, and green roofs. This holistic approach will address stormwater management, biodiversity, and urban heat island reduction.</w:t>
      </w:r>
    </w:p>
    <w:p w14:paraId="1AF46714"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3.3 Renewable Energy Systems- Develop a comprehensive renewable energy strategy, including on-site generation (e.g., rooftop solar PV) and the potential for a campus-wide district energy system incorporating geothermal or other low-carbon technologies.</w:t>
      </w:r>
    </w:p>
    <w:p w14:paraId="2D232636"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3.4 Building Performance Optimization- Implement continuous commissioning processes and fault detection and diagnostic (FDD) systems across the building portfolio. Utilize data analytics and machine learning algorithms to identify optimization opportunities and predict maintenance needs.</w:t>
      </w:r>
    </w:p>
    <w:p w14:paraId="387DA515"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lastRenderedPageBreak/>
        <w:t>3.5 Occupant Engagement- Develop and implement a comprehensive occupant engagement program to promote energy-conscious behaviors and leverage the campus community in achieving performance targets. This could include energy dashboards, competitions between buildings, and integration with the curriculum.</w:t>
      </w:r>
    </w:p>
    <w:p w14:paraId="4732EAB3" w14:textId="0C5723B5"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 xml:space="preserve">3.6 Research and Innovation Integration- Establish a </w:t>
      </w:r>
      <w:r w:rsidR="00A8627F">
        <w:rPr>
          <w:rFonts w:asciiTheme="minorHAnsi" w:hAnsiTheme="minorHAnsi"/>
          <w:sz w:val="22"/>
          <w:szCs w:val="22"/>
        </w:rPr>
        <w:t>“</w:t>
      </w:r>
      <w:r w:rsidRPr="00D06382">
        <w:rPr>
          <w:rFonts w:asciiTheme="minorHAnsi" w:hAnsiTheme="minorHAnsi"/>
          <w:sz w:val="22"/>
          <w:szCs w:val="22"/>
        </w:rPr>
        <w:t>Campus as a Living Lab</w:t>
      </w:r>
      <w:r w:rsidR="00A8627F">
        <w:rPr>
          <w:rFonts w:asciiTheme="minorHAnsi" w:hAnsiTheme="minorHAnsi"/>
          <w:sz w:val="22"/>
          <w:szCs w:val="22"/>
        </w:rPr>
        <w:t>”</w:t>
      </w:r>
      <w:r w:rsidRPr="00D06382">
        <w:rPr>
          <w:rFonts w:asciiTheme="minorHAnsi" w:hAnsiTheme="minorHAnsi"/>
          <w:sz w:val="22"/>
          <w:szCs w:val="22"/>
        </w:rPr>
        <w:t xml:space="preserve"> program, similar to the University of Toronto</w:t>
      </w:r>
      <w:r w:rsidR="00027B17">
        <w:rPr>
          <w:rFonts w:asciiTheme="minorHAnsi" w:hAnsiTheme="minorHAnsi"/>
          <w:sz w:val="22"/>
          <w:szCs w:val="22"/>
        </w:rPr>
        <w:t>’</w:t>
      </w:r>
      <w:r w:rsidRPr="00D06382">
        <w:rPr>
          <w:rFonts w:asciiTheme="minorHAnsi" w:hAnsiTheme="minorHAnsi"/>
          <w:sz w:val="22"/>
          <w:szCs w:val="22"/>
        </w:rPr>
        <w:t>s initiative, to facilitate research projects and student learning opportunities related to building performance, energy systems, and occupant behavior.</w:t>
      </w:r>
    </w:p>
    <w:p w14:paraId="0762A73A" w14:textId="77777777" w:rsidR="00052B3F" w:rsidRPr="00D06382" w:rsidRDefault="00052B3F" w:rsidP="00052B3F">
      <w:pPr>
        <w:pStyle w:val="whitespace-pre-wrap"/>
        <w:jc w:val="both"/>
        <w:rPr>
          <w:rFonts w:asciiTheme="minorHAnsi" w:hAnsiTheme="minorHAnsi"/>
          <w:b/>
          <w:bCs/>
          <w:sz w:val="22"/>
          <w:szCs w:val="22"/>
        </w:rPr>
      </w:pPr>
      <w:r w:rsidRPr="00D06382">
        <w:rPr>
          <w:rFonts w:asciiTheme="minorHAnsi" w:hAnsiTheme="minorHAnsi"/>
          <w:b/>
          <w:bCs/>
          <w:sz w:val="22"/>
          <w:szCs w:val="22"/>
        </w:rPr>
        <w:t>Challenges and Mitigation Strategies</w:t>
      </w:r>
    </w:p>
    <w:p w14:paraId="6EB61982"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Several potential challenges may arise during the implementation of this plan. Addressing these proactively will be crucial for success:</w:t>
      </w:r>
    </w:p>
    <w:p w14:paraId="5AFD8E54" w14:textId="77777777" w:rsidR="00052B3F" w:rsidRPr="00D06382" w:rsidRDefault="00052B3F" w:rsidP="007D5ACF">
      <w:pPr>
        <w:pStyle w:val="whitespace-pre-wrap"/>
        <w:numPr>
          <w:ilvl w:val="0"/>
          <w:numId w:val="68"/>
        </w:numPr>
        <w:jc w:val="both"/>
        <w:rPr>
          <w:rFonts w:asciiTheme="minorHAnsi" w:hAnsiTheme="minorHAnsi"/>
          <w:sz w:val="22"/>
          <w:szCs w:val="22"/>
        </w:rPr>
      </w:pPr>
      <w:r w:rsidRPr="00D06382">
        <w:rPr>
          <w:rFonts w:asciiTheme="minorHAnsi" w:hAnsiTheme="minorHAnsi"/>
          <w:sz w:val="22"/>
          <w:szCs w:val="22"/>
        </w:rPr>
        <w:t xml:space="preserve">Financial Constraints: The upfront costs of high-performance buildings and deep energy retrofits can be significant. Mitigation strategies include: </w:t>
      </w:r>
    </w:p>
    <w:p w14:paraId="4C4A2154"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Leveraging the proposed Green Revolving Fund and exploring innovative financing mechanisms like energy performance contracts.</w:t>
      </w:r>
    </w:p>
    <w:p w14:paraId="52ED742C"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Prioritizing projects with the highest return on investment and greatest impact on emissions reduction.</w:t>
      </w:r>
    </w:p>
    <w:p w14:paraId="7A8EA1F5"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Seeking external funding through government grants, partnerships with utility companies, and alumni donations.</w:t>
      </w:r>
    </w:p>
    <w:p w14:paraId="4CE83C5F" w14:textId="77777777" w:rsidR="00052B3F" w:rsidRPr="00D06382" w:rsidRDefault="00052B3F" w:rsidP="007D5ACF">
      <w:pPr>
        <w:pStyle w:val="whitespace-pre-wrap"/>
        <w:numPr>
          <w:ilvl w:val="0"/>
          <w:numId w:val="68"/>
        </w:numPr>
        <w:jc w:val="both"/>
        <w:rPr>
          <w:rFonts w:asciiTheme="minorHAnsi" w:hAnsiTheme="minorHAnsi"/>
          <w:sz w:val="22"/>
          <w:szCs w:val="22"/>
        </w:rPr>
      </w:pPr>
      <w:r w:rsidRPr="00D06382">
        <w:rPr>
          <w:rFonts w:asciiTheme="minorHAnsi" w:hAnsiTheme="minorHAnsi"/>
          <w:sz w:val="22"/>
          <w:szCs w:val="22"/>
        </w:rPr>
        <w:t xml:space="preserve">Technical Expertise: Achieving net zero performance requires specialized knowledge and skills. To address this: </w:t>
      </w:r>
    </w:p>
    <w:p w14:paraId="0460F8D5"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Invest in training and professional development for facilities staff and project managers.</w:t>
      </w:r>
    </w:p>
    <w:p w14:paraId="1736C192"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Partner with industry experts and consultants to supplement internal capabilities.</w:t>
      </w:r>
    </w:p>
    <w:p w14:paraId="2AACCEBD"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Collaborate with academic departments to leverage faculty expertise and create learning opportunities for students.</w:t>
      </w:r>
    </w:p>
    <w:p w14:paraId="4283F430" w14:textId="77777777" w:rsidR="00052B3F" w:rsidRPr="00D06382" w:rsidRDefault="00052B3F" w:rsidP="007D5ACF">
      <w:pPr>
        <w:pStyle w:val="whitespace-pre-wrap"/>
        <w:numPr>
          <w:ilvl w:val="0"/>
          <w:numId w:val="68"/>
        </w:numPr>
        <w:jc w:val="both"/>
        <w:rPr>
          <w:rFonts w:asciiTheme="minorHAnsi" w:hAnsiTheme="minorHAnsi"/>
          <w:sz w:val="22"/>
          <w:szCs w:val="22"/>
        </w:rPr>
      </w:pPr>
      <w:r w:rsidRPr="00D06382">
        <w:rPr>
          <w:rFonts w:asciiTheme="minorHAnsi" w:hAnsiTheme="minorHAnsi"/>
          <w:sz w:val="22"/>
          <w:szCs w:val="22"/>
        </w:rPr>
        <w:t xml:space="preserve">Stakeholder Buy-in: Resistance to change or competing priorities may hinder implementation. Strategies to enhance buy-in include: </w:t>
      </w:r>
    </w:p>
    <w:p w14:paraId="5B3BB2DF" w14:textId="646EFA4E"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Clearly communicating the benefits of the Net Zero Building Standard, including long-term cost savings, improved occupant well-being, and alignment with YU</w:t>
      </w:r>
      <w:r w:rsidR="00027B17">
        <w:rPr>
          <w:rFonts w:asciiTheme="minorHAnsi" w:hAnsiTheme="minorHAnsi"/>
          <w:sz w:val="22"/>
          <w:szCs w:val="22"/>
        </w:rPr>
        <w:t>’</w:t>
      </w:r>
      <w:r w:rsidRPr="00D06382">
        <w:rPr>
          <w:rFonts w:asciiTheme="minorHAnsi" w:hAnsiTheme="minorHAnsi"/>
          <w:sz w:val="22"/>
          <w:szCs w:val="22"/>
        </w:rPr>
        <w:t>s sustainability goals.</w:t>
      </w:r>
    </w:p>
    <w:p w14:paraId="1C4A0242"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Engaging stakeholders early and consistently throughout the process, incorporating their feedback into implementation plans.</w:t>
      </w:r>
    </w:p>
    <w:p w14:paraId="5E45715F"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Showcasing early successes and tangible benefits from pilot projects to build momentum.</w:t>
      </w:r>
    </w:p>
    <w:p w14:paraId="291B29B9" w14:textId="77777777" w:rsidR="00052B3F" w:rsidRPr="00D06382" w:rsidRDefault="00052B3F" w:rsidP="007D5ACF">
      <w:pPr>
        <w:pStyle w:val="whitespace-pre-wrap"/>
        <w:numPr>
          <w:ilvl w:val="0"/>
          <w:numId w:val="68"/>
        </w:numPr>
        <w:jc w:val="both"/>
        <w:rPr>
          <w:rFonts w:asciiTheme="minorHAnsi" w:hAnsiTheme="minorHAnsi"/>
          <w:sz w:val="22"/>
          <w:szCs w:val="22"/>
        </w:rPr>
      </w:pPr>
      <w:r w:rsidRPr="00D06382">
        <w:rPr>
          <w:rFonts w:asciiTheme="minorHAnsi" w:hAnsiTheme="minorHAnsi"/>
          <w:sz w:val="22"/>
          <w:szCs w:val="22"/>
        </w:rPr>
        <w:t xml:space="preserve">Regulatory Compliance: Ensuring compliance with evolving building codes and standards while pursuing ambitious performance targets. To address this: </w:t>
      </w:r>
    </w:p>
    <w:p w14:paraId="121C5A61"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Maintain close relationships with local authorities and stay informed about upcoming regulatory changes.</w:t>
      </w:r>
    </w:p>
    <w:p w14:paraId="64C3E93E" w14:textId="77777777"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t>Design flexibility into the standard to allow for adjustments as regulations evolve.</w:t>
      </w:r>
    </w:p>
    <w:p w14:paraId="4AD7DD98" w14:textId="69222584" w:rsidR="00052B3F" w:rsidRPr="00D06382" w:rsidRDefault="00052B3F" w:rsidP="007D5ACF">
      <w:pPr>
        <w:pStyle w:val="whitespace-pre-wrap"/>
        <w:numPr>
          <w:ilvl w:val="1"/>
          <w:numId w:val="68"/>
        </w:numPr>
        <w:jc w:val="both"/>
        <w:rPr>
          <w:rFonts w:asciiTheme="minorHAnsi" w:hAnsiTheme="minorHAnsi"/>
          <w:sz w:val="22"/>
          <w:szCs w:val="22"/>
        </w:rPr>
      </w:pPr>
      <w:r w:rsidRPr="00D06382">
        <w:rPr>
          <w:rFonts w:asciiTheme="minorHAnsi" w:hAnsiTheme="minorHAnsi"/>
          <w:sz w:val="22"/>
          <w:szCs w:val="22"/>
        </w:rPr>
        <w:lastRenderedPageBreak/>
        <w:t>Advocate for supportive policies at the municipal and provincial levels, leveraging YU</w:t>
      </w:r>
      <w:r w:rsidR="00027B17">
        <w:rPr>
          <w:rFonts w:asciiTheme="minorHAnsi" w:hAnsiTheme="minorHAnsi"/>
          <w:sz w:val="22"/>
          <w:szCs w:val="22"/>
        </w:rPr>
        <w:t>’</w:t>
      </w:r>
      <w:r w:rsidRPr="00D06382">
        <w:rPr>
          <w:rFonts w:asciiTheme="minorHAnsi" w:hAnsiTheme="minorHAnsi"/>
          <w:sz w:val="22"/>
          <w:szCs w:val="22"/>
        </w:rPr>
        <w:t>s position as a leader in sustainable campus development.</w:t>
      </w:r>
    </w:p>
    <w:p w14:paraId="565CE38A" w14:textId="77777777"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 xml:space="preserve">Successful implementation of this strategy will require strong leadership support, consistent funding, and active engagement from all members of the university community. In addition, regular communication of progress and benefits will be crucial to maintaining momentum and support over the long term. </w:t>
      </w:r>
    </w:p>
    <w:p w14:paraId="4491FE5F" w14:textId="77777777" w:rsidR="00052B3F" w:rsidRPr="00DC0A45" w:rsidRDefault="00052B3F" w:rsidP="00DC0A45">
      <w:pPr>
        <w:pStyle w:val="Heading2"/>
      </w:pPr>
      <w:bookmarkStart w:id="55" w:name="_Toc202743020"/>
      <w:r w:rsidRPr="00DC0A45">
        <w:t>Monitoring and Reporting Framework</w:t>
      </w:r>
      <w:bookmarkEnd w:id="55"/>
    </w:p>
    <w:p w14:paraId="2FD8692A" w14:textId="2BC0B3C3"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A robust monitoring and reporting framework is essential to effectively tracking York University</w:t>
      </w:r>
      <w:r w:rsidR="00027B17">
        <w:rPr>
          <w:rFonts w:asciiTheme="minorHAnsi" w:hAnsiTheme="minorHAnsi"/>
          <w:sz w:val="22"/>
          <w:szCs w:val="22"/>
        </w:rPr>
        <w:t>’</w:t>
      </w:r>
      <w:r w:rsidRPr="00D06382">
        <w:rPr>
          <w:rFonts w:asciiTheme="minorHAnsi" w:hAnsiTheme="minorHAnsi"/>
          <w:sz w:val="22"/>
          <w:szCs w:val="22"/>
        </w:rPr>
        <w:t>s progress towards its net zero carbon emissions goal. The table below summarizes preliminary key performance indicators (KPIs) that could be used to monitor progress, help ensure accountability, identify improvement areas, and demonstrate sustainability leadership.</w:t>
      </w:r>
    </w:p>
    <w:p w14:paraId="5F943EAB" w14:textId="63CEDDAD" w:rsidR="007E61A3" w:rsidRPr="007E61A3" w:rsidRDefault="007E61A3" w:rsidP="007E61A3">
      <w:pPr>
        <w:pStyle w:val="Caption"/>
        <w:keepNext/>
        <w:jc w:val="center"/>
        <w:rPr>
          <w:b/>
          <w:bCs/>
        </w:rPr>
      </w:pPr>
      <w:r w:rsidRPr="007E61A3">
        <w:rPr>
          <w:b/>
          <w:bCs/>
        </w:rPr>
        <w:t xml:space="preserve">Table </w:t>
      </w:r>
      <w:r w:rsidRPr="007E61A3">
        <w:rPr>
          <w:b/>
          <w:bCs/>
        </w:rPr>
        <w:fldChar w:fldCharType="begin"/>
      </w:r>
      <w:r w:rsidRPr="007E61A3">
        <w:rPr>
          <w:b/>
          <w:bCs/>
        </w:rPr>
        <w:instrText xml:space="preserve"> SEQ Table \* ARABIC </w:instrText>
      </w:r>
      <w:r w:rsidRPr="007E61A3">
        <w:rPr>
          <w:b/>
          <w:bCs/>
        </w:rPr>
        <w:fldChar w:fldCharType="separate"/>
      </w:r>
      <w:r w:rsidRPr="007E61A3">
        <w:rPr>
          <w:b/>
          <w:bCs/>
          <w:noProof/>
        </w:rPr>
        <w:t>7</w:t>
      </w:r>
      <w:r w:rsidRPr="007E61A3">
        <w:rPr>
          <w:b/>
          <w:bCs/>
        </w:rPr>
        <w:fldChar w:fldCharType="end"/>
      </w:r>
      <w:r w:rsidRPr="007E61A3">
        <w:rPr>
          <w:b/>
          <w:bCs/>
        </w:rPr>
        <w:t xml:space="preserve"> Monitoring &amp; Reporting Framework Key Performance Indicators</w:t>
      </w:r>
    </w:p>
    <w:tbl>
      <w:tblPr>
        <w:tblStyle w:val="TableGrid"/>
        <w:tblW w:w="0" w:type="auto"/>
        <w:tblLook w:val="04A0" w:firstRow="1" w:lastRow="0" w:firstColumn="1" w:lastColumn="0" w:noHBand="0" w:noVBand="1"/>
      </w:tblPr>
      <w:tblGrid>
        <w:gridCol w:w="2724"/>
        <w:gridCol w:w="6626"/>
      </w:tblGrid>
      <w:tr w:rsidR="00052B3F" w:rsidRPr="00316FCB" w14:paraId="52CFC659" w14:textId="77777777" w:rsidTr="007E61A3">
        <w:tc>
          <w:tcPr>
            <w:tcW w:w="2724" w:type="dxa"/>
            <w:vAlign w:val="bottom"/>
          </w:tcPr>
          <w:p w14:paraId="75123CD7"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Metric</w:t>
            </w:r>
          </w:p>
        </w:tc>
        <w:tc>
          <w:tcPr>
            <w:tcW w:w="6626" w:type="dxa"/>
            <w:vAlign w:val="bottom"/>
          </w:tcPr>
          <w:p w14:paraId="57B4EC08"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Corresponding KPIs</w:t>
            </w:r>
          </w:p>
        </w:tc>
      </w:tr>
      <w:tr w:rsidR="00052B3F" w:rsidRPr="00316FCB" w14:paraId="61011FD2" w14:textId="77777777" w:rsidTr="007E61A3">
        <w:tc>
          <w:tcPr>
            <w:tcW w:w="2724" w:type="dxa"/>
            <w:vAlign w:val="center"/>
          </w:tcPr>
          <w:p w14:paraId="07F91D33"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Energy Performance</w:t>
            </w:r>
          </w:p>
        </w:tc>
        <w:tc>
          <w:tcPr>
            <w:tcW w:w="6626" w:type="dxa"/>
            <w:vAlign w:val="bottom"/>
          </w:tcPr>
          <w:p w14:paraId="7AE1F156"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Energy Use Intensity (EUI) in kWh/m²/year</w:t>
            </w:r>
          </w:p>
          <w:p w14:paraId="48F458D8"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Thermal Energy Demand Intensity (TEDI) in kWh/m²/year</w:t>
            </w:r>
          </w:p>
        </w:tc>
      </w:tr>
      <w:tr w:rsidR="00052B3F" w:rsidRPr="00316FCB" w14:paraId="33E38A05" w14:textId="77777777" w:rsidTr="007E61A3">
        <w:tc>
          <w:tcPr>
            <w:tcW w:w="2724" w:type="dxa"/>
            <w:vAlign w:val="center"/>
          </w:tcPr>
          <w:p w14:paraId="032EB4D4"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Greenhouse Gas Emissions</w:t>
            </w:r>
          </w:p>
        </w:tc>
        <w:tc>
          <w:tcPr>
            <w:tcW w:w="6626" w:type="dxa"/>
            <w:vAlign w:val="bottom"/>
          </w:tcPr>
          <w:p w14:paraId="31DBCDF5"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Greenhouse Gas Intensity (GHGI) in kg CO₂e/m²/year</w:t>
            </w:r>
          </w:p>
          <w:p w14:paraId="5878F889"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Embodied carbon in kg CO₂e/m²</w:t>
            </w:r>
          </w:p>
        </w:tc>
      </w:tr>
      <w:tr w:rsidR="00052B3F" w:rsidRPr="00316FCB" w14:paraId="501098DE" w14:textId="77777777" w:rsidTr="007E61A3">
        <w:tc>
          <w:tcPr>
            <w:tcW w:w="2724" w:type="dxa"/>
            <w:vAlign w:val="center"/>
          </w:tcPr>
          <w:p w14:paraId="3B32AB06"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Renewable Energy</w:t>
            </w:r>
          </w:p>
        </w:tc>
        <w:tc>
          <w:tcPr>
            <w:tcW w:w="6626" w:type="dxa"/>
            <w:vAlign w:val="bottom"/>
          </w:tcPr>
          <w:p w14:paraId="21D7CA6A"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Renewable energy generation capacity (kW)</w:t>
            </w:r>
          </w:p>
          <w:p w14:paraId="6E7D180D"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Annual renewable energy production (kWh)</w:t>
            </w:r>
          </w:p>
        </w:tc>
      </w:tr>
      <w:tr w:rsidR="00052B3F" w:rsidRPr="00316FCB" w14:paraId="7962F0B3" w14:textId="77777777" w:rsidTr="007E61A3">
        <w:tc>
          <w:tcPr>
            <w:tcW w:w="2724" w:type="dxa"/>
            <w:vAlign w:val="center"/>
          </w:tcPr>
          <w:p w14:paraId="27C55717"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Water Management</w:t>
            </w:r>
          </w:p>
        </w:tc>
        <w:tc>
          <w:tcPr>
            <w:tcW w:w="6626" w:type="dxa"/>
            <w:vAlign w:val="bottom"/>
          </w:tcPr>
          <w:p w14:paraId="58AACA0C"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Water use intensity (L/m²/year)</w:t>
            </w:r>
          </w:p>
          <w:p w14:paraId="2B160D25"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Percentage of stormwater runoff captured and managed on-site</w:t>
            </w:r>
          </w:p>
          <w:p w14:paraId="080315AB"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Volume of rainwater harvested and reused annually</w:t>
            </w:r>
            <w:r w:rsidRPr="00316FCB">
              <w:rPr>
                <w:rFonts w:asciiTheme="minorHAnsi" w:hAnsiTheme="minorHAnsi"/>
                <w:color w:val="000000"/>
                <w:sz w:val="20"/>
                <w:szCs w:val="20"/>
              </w:rPr>
              <w:br/>
              <w:t>Reduction in potable water use for irrigation</w:t>
            </w:r>
          </w:p>
        </w:tc>
      </w:tr>
      <w:tr w:rsidR="00052B3F" w:rsidRPr="00316FCB" w14:paraId="4608A334" w14:textId="77777777" w:rsidTr="007E61A3">
        <w:tc>
          <w:tcPr>
            <w:tcW w:w="2724" w:type="dxa"/>
            <w:vAlign w:val="center"/>
          </w:tcPr>
          <w:p w14:paraId="63B8E9FA"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Green Infrastructure</w:t>
            </w:r>
          </w:p>
        </w:tc>
        <w:tc>
          <w:tcPr>
            <w:tcW w:w="6626" w:type="dxa"/>
            <w:vAlign w:val="bottom"/>
          </w:tcPr>
          <w:p w14:paraId="47F50BD7"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Area of biodiverse green roofs implemented (m²)</w:t>
            </w:r>
          </w:p>
          <w:p w14:paraId="1ED3FFCA" w14:textId="77777777" w:rsidR="00052B3F" w:rsidRPr="00316FCB" w:rsidRDefault="00052B3F" w:rsidP="007D5ACF">
            <w:pPr>
              <w:pStyle w:val="whitespace-pre-wrap"/>
              <w:numPr>
                <w:ilvl w:val="0"/>
                <w:numId w:val="63"/>
              </w:numPr>
              <w:ind w:left="313" w:hanging="283"/>
              <w:rPr>
                <w:rFonts w:asciiTheme="minorHAnsi" w:hAnsiTheme="minorHAnsi"/>
                <w:b/>
                <w:bCs/>
                <w:sz w:val="20"/>
                <w:szCs w:val="20"/>
              </w:rPr>
            </w:pPr>
            <w:r w:rsidRPr="00316FCB">
              <w:rPr>
                <w:rFonts w:asciiTheme="minorHAnsi" w:hAnsiTheme="minorHAnsi"/>
                <w:color w:val="000000"/>
                <w:sz w:val="20"/>
                <w:szCs w:val="20"/>
              </w:rPr>
              <w:t>Number of trees planted and carbon sequestration estimates</w:t>
            </w:r>
          </w:p>
        </w:tc>
      </w:tr>
      <w:tr w:rsidR="00052B3F" w:rsidRPr="00316FCB" w14:paraId="77A6DAC4" w14:textId="77777777" w:rsidTr="007E61A3">
        <w:tc>
          <w:tcPr>
            <w:tcW w:w="2724" w:type="dxa"/>
            <w:vAlign w:val="center"/>
          </w:tcPr>
          <w:p w14:paraId="5469CBEB"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Waste Management</w:t>
            </w:r>
          </w:p>
        </w:tc>
        <w:tc>
          <w:tcPr>
            <w:tcW w:w="6626" w:type="dxa"/>
            <w:vAlign w:val="bottom"/>
          </w:tcPr>
          <w:p w14:paraId="79C0E1E4" w14:textId="77777777" w:rsidR="00052B3F" w:rsidRPr="00316FCB" w:rsidRDefault="00052B3F" w:rsidP="007D5ACF">
            <w:pPr>
              <w:pStyle w:val="whitespace-pre-wrap"/>
              <w:numPr>
                <w:ilvl w:val="0"/>
                <w:numId w:val="65"/>
              </w:numPr>
              <w:ind w:left="313" w:hanging="283"/>
              <w:rPr>
                <w:rFonts w:asciiTheme="minorHAnsi" w:hAnsiTheme="minorHAnsi"/>
                <w:b/>
                <w:bCs/>
                <w:sz w:val="20"/>
                <w:szCs w:val="20"/>
              </w:rPr>
            </w:pPr>
            <w:r w:rsidRPr="00316FCB">
              <w:rPr>
                <w:rFonts w:asciiTheme="minorHAnsi" w:hAnsiTheme="minorHAnsi"/>
                <w:color w:val="000000"/>
                <w:sz w:val="20"/>
                <w:szCs w:val="20"/>
              </w:rPr>
              <w:t>Waste diversion rate (%)</w:t>
            </w:r>
          </w:p>
        </w:tc>
      </w:tr>
      <w:tr w:rsidR="00052B3F" w:rsidRPr="00316FCB" w14:paraId="451A4385" w14:textId="77777777" w:rsidTr="007E61A3">
        <w:tc>
          <w:tcPr>
            <w:tcW w:w="2724" w:type="dxa"/>
            <w:vAlign w:val="center"/>
          </w:tcPr>
          <w:p w14:paraId="5723839E"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Building Performance</w:t>
            </w:r>
          </w:p>
        </w:tc>
        <w:tc>
          <w:tcPr>
            <w:tcW w:w="6626" w:type="dxa"/>
            <w:vAlign w:val="bottom"/>
          </w:tcPr>
          <w:p w14:paraId="087D2C54" w14:textId="77777777" w:rsidR="00052B3F" w:rsidRPr="00316FCB" w:rsidRDefault="00052B3F" w:rsidP="007D5ACF">
            <w:pPr>
              <w:pStyle w:val="whitespace-pre-wrap"/>
              <w:numPr>
                <w:ilvl w:val="0"/>
                <w:numId w:val="65"/>
              </w:numPr>
              <w:ind w:left="313" w:hanging="283"/>
              <w:rPr>
                <w:rFonts w:asciiTheme="minorHAnsi" w:hAnsiTheme="minorHAnsi"/>
                <w:b/>
                <w:bCs/>
                <w:sz w:val="20"/>
                <w:szCs w:val="20"/>
              </w:rPr>
            </w:pPr>
            <w:r w:rsidRPr="00316FCB">
              <w:rPr>
                <w:rFonts w:asciiTheme="minorHAnsi" w:hAnsiTheme="minorHAnsi"/>
                <w:color w:val="000000"/>
                <w:sz w:val="20"/>
                <w:szCs w:val="20"/>
              </w:rPr>
              <w:t>Percentage of building area meeting or exceeding the Net Zero Building Standard</w:t>
            </w:r>
          </w:p>
        </w:tc>
      </w:tr>
      <w:tr w:rsidR="00052B3F" w:rsidRPr="00316FCB" w14:paraId="50F4E1F6" w14:textId="77777777" w:rsidTr="007E61A3">
        <w:tc>
          <w:tcPr>
            <w:tcW w:w="2724" w:type="dxa"/>
            <w:vAlign w:val="center"/>
          </w:tcPr>
          <w:p w14:paraId="1B9D1737"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Resilience and Climate Adaptation</w:t>
            </w:r>
          </w:p>
        </w:tc>
        <w:tc>
          <w:tcPr>
            <w:tcW w:w="6626" w:type="dxa"/>
            <w:vAlign w:val="bottom"/>
          </w:tcPr>
          <w:p w14:paraId="749060E9"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Percentage of buildings meeting resilience and climate adaptation standards</w:t>
            </w:r>
          </w:p>
          <w:p w14:paraId="61E2B2DE"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Number of climate-related incidents (e.g., flooding, power outages) and their impact</w:t>
            </w:r>
          </w:p>
        </w:tc>
      </w:tr>
      <w:tr w:rsidR="00052B3F" w:rsidRPr="00316FCB" w14:paraId="08945136" w14:textId="77777777" w:rsidTr="007E61A3">
        <w:tc>
          <w:tcPr>
            <w:tcW w:w="2724" w:type="dxa"/>
            <w:vAlign w:val="center"/>
          </w:tcPr>
          <w:p w14:paraId="5D8D891C"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Indoor Environmental Quality</w:t>
            </w:r>
          </w:p>
        </w:tc>
        <w:tc>
          <w:tcPr>
            <w:tcW w:w="6626" w:type="dxa"/>
            <w:vAlign w:val="bottom"/>
          </w:tcPr>
          <w:p w14:paraId="19D1E2D9"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Indoor air quality metrics (e.g., CO2 levels, particulate matter)</w:t>
            </w:r>
          </w:p>
          <w:p w14:paraId="23F852FC"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lastRenderedPageBreak/>
              <w:t>Daylight factor and lighting quality metrics</w:t>
            </w:r>
          </w:p>
        </w:tc>
      </w:tr>
      <w:tr w:rsidR="00052B3F" w:rsidRPr="00316FCB" w14:paraId="12FC864D" w14:textId="77777777" w:rsidTr="007E61A3">
        <w:tc>
          <w:tcPr>
            <w:tcW w:w="2724" w:type="dxa"/>
            <w:vAlign w:val="center"/>
          </w:tcPr>
          <w:p w14:paraId="3CFC38EB"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lastRenderedPageBreak/>
              <w:t>Occupant Satisfaction</w:t>
            </w:r>
          </w:p>
        </w:tc>
        <w:tc>
          <w:tcPr>
            <w:tcW w:w="6626" w:type="dxa"/>
            <w:vAlign w:val="bottom"/>
          </w:tcPr>
          <w:p w14:paraId="332060F8"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Occupant satisfaction scores</w:t>
            </w:r>
          </w:p>
          <w:p w14:paraId="7C34DC83"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Number of indoor environmental quality complaints and resolution times</w:t>
            </w:r>
          </w:p>
        </w:tc>
      </w:tr>
      <w:tr w:rsidR="00052B3F" w:rsidRPr="00316FCB" w14:paraId="50EEAD79" w14:textId="77777777" w:rsidTr="007E61A3">
        <w:tc>
          <w:tcPr>
            <w:tcW w:w="2724" w:type="dxa"/>
            <w:vAlign w:val="center"/>
          </w:tcPr>
          <w:p w14:paraId="7CB9036C"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Active Transportation</w:t>
            </w:r>
          </w:p>
        </w:tc>
        <w:tc>
          <w:tcPr>
            <w:tcW w:w="6626" w:type="dxa"/>
            <w:vAlign w:val="bottom"/>
          </w:tcPr>
          <w:p w14:paraId="60C54310"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Number of electric vehicle charging stations and usage rates</w:t>
            </w:r>
          </w:p>
          <w:p w14:paraId="0AAAAE55"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Bicycle parking utilization rates</w:t>
            </w:r>
          </w:p>
        </w:tc>
      </w:tr>
      <w:tr w:rsidR="00052B3F" w:rsidRPr="00316FCB" w14:paraId="17439F84" w14:textId="77777777" w:rsidTr="007E61A3">
        <w:tc>
          <w:tcPr>
            <w:tcW w:w="2724" w:type="dxa"/>
            <w:vAlign w:val="center"/>
          </w:tcPr>
          <w:p w14:paraId="6F81D671"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Academic Integration</w:t>
            </w:r>
          </w:p>
        </w:tc>
        <w:tc>
          <w:tcPr>
            <w:tcW w:w="6626" w:type="dxa"/>
            <w:vAlign w:val="bottom"/>
          </w:tcPr>
          <w:p w14:paraId="630CA4EF"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Number of courses incorporating sustainability and green building concepts</w:t>
            </w:r>
          </w:p>
          <w:p w14:paraId="772056A3"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Quantity and scope of research projects utilizing campus buildings as living laboratories</w:t>
            </w:r>
          </w:p>
          <w:p w14:paraId="2EA8A80C"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Number of publications and conference presentations resulting from building-related research</w:t>
            </w:r>
          </w:p>
        </w:tc>
      </w:tr>
      <w:tr w:rsidR="00052B3F" w:rsidRPr="00316FCB" w14:paraId="6E672702" w14:textId="77777777" w:rsidTr="007E61A3">
        <w:tc>
          <w:tcPr>
            <w:tcW w:w="2724" w:type="dxa"/>
            <w:vAlign w:val="center"/>
          </w:tcPr>
          <w:p w14:paraId="184B458D"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Innovation and Impact</w:t>
            </w:r>
          </w:p>
        </w:tc>
        <w:tc>
          <w:tcPr>
            <w:tcW w:w="6626" w:type="dxa"/>
            <w:vAlign w:val="bottom"/>
          </w:tcPr>
          <w:p w14:paraId="1AB7E759"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Number of innovations and patents developed through campus sustainability projects</w:t>
            </w:r>
          </w:p>
          <w:p w14:paraId="1C3312DB"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Economic and social impact of green building initiatives on the broader community</w:t>
            </w:r>
          </w:p>
        </w:tc>
      </w:tr>
      <w:tr w:rsidR="00052B3F" w:rsidRPr="00316FCB" w14:paraId="1CBE3DE8" w14:textId="77777777" w:rsidTr="007E61A3">
        <w:tc>
          <w:tcPr>
            <w:tcW w:w="2724" w:type="dxa"/>
            <w:vAlign w:val="center"/>
          </w:tcPr>
          <w:p w14:paraId="06507490"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Health and Wellbeing</w:t>
            </w:r>
          </w:p>
        </w:tc>
        <w:tc>
          <w:tcPr>
            <w:tcW w:w="6626" w:type="dxa"/>
            <w:vAlign w:val="bottom"/>
          </w:tcPr>
          <w:p w14:paraId="57945D1A"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Usage rates of active design features</w:t>
            </w:r>
          </w:p>
          <w:p w14:paraId="71C48F66"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Mental health indicators in relation to building environments</w:t>
            </w:r>
          </w:p>
        </w:tc>
      </w:tr>
      <w:tr w:rsidR="00052B3F" w:rsidRPr="00316FCB" w14:paraId="1040E0E8" w14:textId="77777777" w:rsidTr="007E61A3">
        <w:tc>
          <w:tcPr>
            <w:tcW w:w="2724" w:type="dxa"/>
            <w:vAlign w:val="center"/>
          </w:tcPr>
          <w:p w14:paraId="4959BEE1" w14:textId="77777777" w:rsidR="00052B3F" w:rsidRPr="00316FCB" w:rsidRDefault="00052B3F" w:rsidP="00CA2403">
            <w:pPr>
              <w:pStyle w:val="whitespace-pre-wrap"/>
              <w:rPr>
                <w:rFonts w:asciiTheme="minorHAnsi" w:hAnsiTheme="minorHAnsi"/>
                <w:b/>
                <w:bCs/>
                <w:sz w:val="20"/>
                <w:szCs w:val="20"/>
              </w:rPr>
            </w:pPr>
            <w:r w:rsidRPr="00316FCB">
              <w:rPr>
                <w:rFonts w:asciiTheme="minorHAnsi" w:hAnsiTheme="minorHAnsi"/>
                <w:b/>
                <w:bCs/>
                <w:color w:val="000000"/>
                <w:sz w:val="20"/>
                <w:szCs w:val="20"/>
              </w:rPr>
              <w:t>Productivity</w:t>
            </w:r>
          </w:p>
        </w:tc>
        <w:tc>
          <w:tcPr>
            <w:tcW w:w="6626" w:type="dxa"/>
            <w:vAlign w:val="bottom"/>
          </w:tcPr>
          <w:p w14:paraId="12FC902A"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Cognitive function test scores in different building environments</w:t>
            </w:r>
          </w:p>
          <w:p w14:paraId="7E33473D" w14:textId="77777777" w:rsidR="00052B3F" w:rsidRPr="00316FCB" w:rsidRDefault="00052B3F" w:rsidP="007D5ACF">
            <w:pPr>
              <w:pStyle w:val="whitespace-pre-wrap"/>
              <w:numPr>
                <w:ilvl w:val="0"/>
                <w:numId w:val="64"/>
              </w:numPr>
              <w:ind w:left="313" w:hanging="283"/>
              <w:rPr>
                <w:rFonts w:asciiTheme="minorHAnsi" w:hAnsiTheme="minorHAnsi"/>
                <w:b/>
                <w:bCs/>
                <w:sz w:val="20"/>
                <w:szCs w:val="20"/>
              </w:rPr>
            </w:pPr>
            <w:r w:rsidRPr="00316FCB">
              <w:rPr>
                <w:rFonts w:asciiTheme="minorHAnsi" w:hAnsiTheme="minorHAnsi"/>
                <w:color w:val="000000"/>
                <w:sz w:val="20"/>
                <w:szCs w:val="20"/>
              </w:rPr>
              <w:t>Productivity metrics for staff and faculty in high-performance vs. traditional office spaces</w:t>
            </w:r>
          </w:p>
        </w:tc>
      </w:tr>
    </w:tbl>
    <w:p w14:paraId="2400CD92" w14:textId="619AD062" w:rsidR="00052B3F"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In addition to the above, the following represent additional key areas of assessing performance in relation to the proposed standard</w:t>
      </w:r>
      <w:r w:rsidR="00027B17">
        <w:rPr>
          <w:rFonts w:asciiTheme="minorHAnsi" w:hAnsiTheme="minorHAnsi"/>
          <w:sz w:val="22"/>
          <w:szCs w:val="22"/>
        </w:rPr>
        <w:t>’</w:t>
      </w:r>
      <w:r w:rsidRPr="00D06382">
        <w:rPr>
          <w:rFonts w:asciiTheme="minorHAnsi" w:hAnsiTheme="minorHAnsi"/>
          <w:sz w:val="22"/>
          <w:szCs w:val="22"/>
        </w:rPr>
        <w:t xml:space="preserve">s implementation: </w:t>
      </w:r>
    </w:p>
    <w:p w14:paraId="4DDB10BC"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Reporting and Disclosure</w:t>
      </w:r>
    </w:p>
    <w:p w14:paraId="681DED10" w14:textId="77777777" w:rsidR="00052B3F" w:rsidRPr="00D06382" w:rsidRDefault="00052B3F" w:rsidP="007D5ACF">
      <w:pPr>
        <w:pStyle w:val="whitespace-pre-wrap"/>
        <w:numPr>
          <w:ilvl w:val="0"/>
          <w:numId w:val="66"/>
        </w:numPr>
        <w:jc w:val="both"/>
        <w:rPr>
          <w:rFonts w:asciiTheme="minorHAnsi" w:hAnsiTheme="minorHAnsi"/>
          <w:sz w:val="22"/>
          <w:szCs w:val="22"/>
        </w:rPr>
      </w:pPr>
      <w:r w:rsidRPr="00D06382">
        <w:rPr>
          <w:rFonts w:asciiTheme="minorHAnsi" w:hAnsiTheme="minorHAnsi"/>
          <w:sz w:val="22"/>
          <w:szCs w:val="22"/>
        </w:rPr>
        <w:t>Develop a comprehensive annual Green Building Report detailing progress on all aspects of the Net Zero Building Standard, including energy performance, water management, resilience measures, occupant health and wellbeing, and academic integration.</w:t>
      </w:r>
    </w:p>
    <w:p w14:paraId="5F1C66D0" w14:textId="77777777" w:rsidR="00052B3F" w:rsidRPr="00D06382" w:rsidRDefault="00052B3F" w:rsidP="007D5ACF">
      <w:pPr>
        <w:pStyle w:val="whitespace-pre-wrap"/>
        <w:numPr>
          <w:ilvl w:val="0"/>
          <w:numId w:val="66"/>
        </w:numPr>
        <w:jc w:val="both"/>
        <w:rPr>
          <w:rFonts w:asciiTheme="minorHAnsi" w:hAnsiTheme="minorHAnsi"/>
          <w:sz w:val="22"/>
          <w:szCs w:val="22"/>
        </w:rPr>
      </w:pPr>
      <w:r w:rsidRPr="00D06382">
        <w:rPr>
          <w:rFonts w:asciiTheme="minorHAnsi" w:hAnsiTheme="minorHAnsi"/>
          <w:sz w:val="22"/>
          <w:szCs w:val="22"/>
        </w:rPr>
        <w:t>Implement a third-party verification process for reported data to ensure accuracy and credibility.</w:t>
      </w:r>
    </w:p>
    <w:p w14:paraId="5FA117E5" w14:textId="77777777" w:rsidR="00052B3F" w:rsidRPr="00D06382" w:rsidRDefault="00052B3F" w:rsidP="007D5ACF">
      <w:pPr>
        <w:pStyle w:val="whitespace-pre-wrap"/>
        <w:numPr>
          <w:ilvl w:val="0"/>
          <w:numId w:val="66"/>
        </w:numPr>
        <w:jc w:val="both"/>
        <w:rPr>
          <w:rFonts w:asciiTheme="minorHAnsi" w:hAnsiTheme="minorHAnsi"/>
          <w:sz w:val="22"/>
          <w:szCs w:val="22"/>
        </w:rPr>
      </w:pPr>
      <w:r w:rsidRPr="00D06382">
        <w:rPr>
          <w:rFonts w:asciiTheme="minorHAnsi" w:hAnsiTheme="minorHAnsi"/>
          <w:sz w:val="22"/>
          <w:szCs w:val="22"/>
        </w:rPr>
        <w:t>Create case studies for each major new construction and retrofit project, highlighting innovative features and lessons learned.</w:t>
      </w:r>
    </w:p>
    <w:p w14:paraId="421EA055" w14:textId="77777777" w:rsidR="00052B3F" w:rsidRPr="00D06382" w:rsidRDefault="00052B3F" w:rsidP="007D5ACF">
      <w:pPr>
        <w:pStyle w:val="whitespace-pre-wrap"/>
        <w:numPr>
          <w:ilvl w:val="0"/>
          <w:numId w:val="66"/>
        </w:numPr>
        <w:jc w:val="both"/>
        <w:rPr>
          <w:rFonts w:asciiTheme="minorHAnsi" w:hAnsiTheme="minorHAnsi"/>
          <w:sz w:val="22"/>
          <w:szCs w:val="22"/>
        </w:rPr>
      </w:pPr>
      <w:r w:rsidRPr="00D06382">
        <w:rPr>
          <w:rFonts w:asciiTheme="minorHAnsi" w:hAnsiTheme="minorHAnsi"/>
          <w:sz w:val="22"/>
          <w:szCs w:val="22"/>
        </w:rPr>
        <w:t>Establish a Green Building Advisory Team with subject matter experts to review progress and provide recommendations for improvement.</w:t>
      </w:r>
    </w:p>
    <w:p w14:paraId="2BF9A530" w14:textId="77777777" w:rsidR="00052B3F" w:rsidRPr="00D06382" w:rsidRDefault="00052B3F" w:rsidP="00052B3F">
      <w:pPr>
        <w:pStyle w:val="whitespace-pre-wrap"/>
        <w:jc w:val="both"/>
        <w:rPr>
          <w:rFonts w:asciiTheme="minorHAnsi" w:hAnsiTheme="minorHAnsi"/>
          <w:i/>
          <w:iCs/>
          <w:sz w:val="22"/>
          <w:szCs w:val="22"/>
        </w:rPr>
      </w:pPr>
      <w:r w:rsidRPr="00D06382">
        <w:rPr>
          <w:rFonts w:asciiTheme="minorHAnsi" w:hAnsiTheme="minorHAnsi"/>
          <w:i/>
          <w:iCs/>
          <w:sz w:val="22"/>
          <w:szCs w:val="22"/>
        </w:rPr>
        <w:t>Continuous Improvement</w:t>
      </w:r>
    </w:p>
    <w:p w14:paraId="2342E0C8" w14:textId="77777777" w:rsidR="00052B3F" w:rsidRPr="00D06382" w:rsidRDefault="00052B3F" w:rsidP="007D5ACF">
      <w:pPr>
        <w:pStyle w:val="whitespace-pre-wrap"/>
        <w:numPr>
          <w:ilvl w:val="0"/>
          <w:numId w:val="67"/>
        </w:numPr>
        <w:jc w:val="both"/>
        <w:rPr>
          <w:rFonts w:asciiTheme="minorHAnsi" w:hAnsiTheme="minorHAnsi"/>
          <w:sz w:val="22"/>
          <w:szCs w:val="22"/>
        </w:rPr>
      </w:pPr>
      <w:r w:rsidRPr="00D06382">
        <w:rPr>
          <w:rFonts w:asciiTheme="minorHAnsi" w:hAnsiTheme="minorHAnsi"/>
          <w:sz w:val="22"/>
          <w:szCs w:val="22"/>
        </w:rPr>
        <w:lastRenderedPageBreak/>
        <w:t>Conduct post-occupancy evaluations for all new buildings and major retrofits within 18 months of completion to assess actual performance against design targets and occupant satisfaction.</w:t>
      </w:r>
    </w:p>
    <w:p w14:paraId="57B610ED" w14:textId="77777777" w:rsidR="00052B3F" w:rsidRPr="00D06382" w:rsidRDefault="00052B3F" w:rsidP="007D5ACF">
      <w:pPr>
        <w:pStyle w:val="whitespace-pre-wrap"/>
        <w:numPr>
          <w:ilvl w:val="0"/>
          <w:numId w:val="67"/>
        </w:numPr>
        <w:jc w:val="both"/>
        <w:rPr>
          <w:rFonts w:asciiTheme="minorHAnsi" w:hAnsiTheme="minorHAnsi"/>
          <w:sz w:val="22"/>
          <w:szCs w:val="22"/>
        </w:rPr>
      </w:pPr>
      <w:r w:rsidRPr="00D06382">
        <w:rPr>
          <w:rFonts w:asciiTheme="minorHAnsi" w:hAnsiTheme="minorHAnsi"/>
          <w:sz w:val="22"/>
          <w:szCs w:val="22"/>
        </w:rPr>
        <w:t>Establish a formal feedback loop between facilities management, academic researchers, and building occupants to continuously improve building performance and user experience.</w:t>
      </w:r>
    </w:p>
    <w:p w14:paraId="7EB43DBE" w14:textId="65592F44" w:rsidR="00052B3F" w:rsidRPr="00D06382" w:rsidRDefault="00052B3F" w:rsidP="007D5ACF">
      <w:pPr>
        <w:pStyle w:val="whitespace-pre-wrap"/>
        <w:numPr>
          <w:ilvl w:val="0"/>
          <w:numId w:val="67"/>
        </w:numPr>
        <w:jc w:val="both"/>
        <w:rPr>
          <w:rFonts w:asciiTheme="minorHAnsi" w:hAnsiTheme="minorHAnsi"/>
          <w:sz w:val="22"/>
          <w:szCs w:val="22"/>
        </w:rPr>
      </w:pPr>
      <w:r w:rsidRPr="00D06382">
        <w:rPr>
          <w:rFonts w:asciiTheme="minorHAnsi" w:hAnsiTheme="minorHAnsi"/>
          <w:sz w:val="22"/>
          <w:szCs w:val="22"/>
        </w:rPr>
        <w:t xml:space="preserve">Develop a </w:t>
      </w:r>
      <w:r w:rsidR="00A8627F">
        <w:rPr>
          <w:rFonts w:asciiTheme="minorHAnsi" w:hAnsiTheme="minorHAnsi"/>
          <w:sz w:val="22"/>
          <w:szCs w:val="22"/>
        </w:rPr>
        <w:t>“</w:t>
      </w:r>
      <w:r w:rsidRPr="00D06382">
        <w:rPr>
          <w:rFonts w:asciiTheme="minorHAnsi" w:hAnsiTheme="minorHAnsi"/>
          <w:sz w:val="22"/>
          <w:szCs w:val="22"/>
        </w:rPr>
        <w:t>Building Performance Optimization Team</w:t>
      </w:r>
      <w:r w:rsidR="00A8627F">
        <w:rPr>
          <w:rFonts w:asciiTheme="minorHAnsi" w:hAnsiTheme="minorHAnsi"/>
          <w:sz w:val="22"/>
          <w:szCs w:val="22"/>
        </w:rPr>
        <w:t>”</w:t>
      </w:r>
      <w:r w:rsidRPr="00D06382">
        <w:rPr>
          <w:rFonts w:asciiTheme="minorHAnsi" w:hAnsiTheme="minorHAnsi"/>
          <w:sz w:val="22"/>
          <w:szCs w:val="22"/>
        </w:rPr>
        <w:t xml:space="preserve"> responsible for ongoing commissioning, fault detection, and implementation of energy-saving measures across the building portfolio.</w:t>
      </w:r>
    </w:p>
    <w:p w14:paraId="63B1A692" w14:textId="2C7A28B8" w:rsidR="00052B3F" w:rsidRPr="00D06382" w:rsidRDefault="00052B3F" w:rsidP="007D5ACF">
      <w:pPr>
        <w:pStyle w:val="whitespace-pre-wrap"/>
        <w:numPr>
          <w:ilvl w:val="0"/>
          <w:numId w:val="67"/>
        </w:numPr>
        <w:jc w:val="both"/>
        <w:rPr>
          <w:rFonts w:asciiTheme="minorHAnsi" w:hAnsiTheme="minorHAnsi"/>
          <w:sz w:val="22"/>
          <w:szCs w:val="22"/>
        </w:rPr>
      </w:pPr>
      <w:r w:rsidRPr="00D06382">
        <w:rPr>
          <w:rFonts w:asciiTheme="minorHAnsi" w:hAnsiTheme="minorHAnsi"/>
          <w:sz w:val="22"/>
          <w:szCs w:val="22"/>
        </w:rPr>
        <w:t>Regularly benchmark York University</w:t>
      </w:r>
      <w:r w:rsidR="00027B17">
        <w:rPr>
          <w:rFonts w:asciiTheme="minorHAnsi" w:hAnsiTheme="minorHAnsi"/>
          <w:sz w:val="22"/>
          <w:szCs w:val="22"/>
        </w:rPr>
        <w:t>’</w:t>
      </w:r>
      <w:r w:rsidRPr="00D06382">
        <w:rPr>
          <w:rFonts w:asciiTheme="minorHAnsi" w:hAnsiTheme="minorHAnsi"/>
          <w:sz w:val="22"/>
          <w:szCs w:val="22"/>
        </w:rPr>
        <w:t>s performance against other leading institutions to ensure world-class standards are maintained.</w:t>
      </w:r>
    </w:p>
    <w:p w14:paraId="7F0AA2C8" w14:textId="6A0B095E" w:rsidR="004A2DF8" w:rsidRPr="00D06382" w:rsidRDefault="00052B3F" w:rsidP="00052B3F">
      <w:pPr>
        <w:pStyle w:val="whitespace-pre-wrap"/>
        <w:jc w:val="both"/>
        <w:rPr>
          <w:rFonts w:asciiTheme="minorHAnsi" w:hAnsiTheme="minorHAnsi"/>
          <w:sz w:val="22"/>
          <w:szCs w:val="22"/>
        </w:rPr>
      </w:pPr>
      <w:r w:rsidRPr="00D06382">
        <w:rPr>
          <w:rFonts w:asciiTheme="minorHAnsi" w:hAnsiTheme="minorHAnsi"/>
          <w:sz w:val="22"/>
          <w:szCs w:val="22"/>
        </w:rPr>
        <w:t>The monitoring and evaluation process should consider metrics aligned with the THE Impact Rankings, ensuring that York</w:t>
      </w:r>
      <w:r w:rsidR="00027B17">
        <w:rPr>
          <w:rFonts w:asciiTheme="minorHAnsi" w:hAnsiTheme="minorHAnsi"/>
          <w:sz w:val="22"/>
          <w:szCs w:val="22"/>
        </w:rPr>
        <w:t>’</w:t>
      </w:r>
      <w:r w:rsidRPr="00D06382">
        <w:rPr>
          <w:rFonts w:asciiTheme="minorHAnsi" w:hAnsiTheme="minorHAnsi"/>
          <w:sz w:val="22"/>
          <w:szCs w:val="22"/>
        </w:rPr>
        <w:t>s green building efforts contribute to improved performance in this global sustainability assessment.</w:t>
      </w:r>
    </w:p>
    <w:p w14:paraId="2AC14C63" w14:textId="4197DD33" w:rsidR="00052B3F" w:rsidRPr="00DC0A45" w:rsidRDefault="00052B3F" w:rsidP="00DC0A45">
      <w:pPr>
        <w:pStyle w:val="Heading1"/>
      </w:pPr>
      <w:bookmarkStart w:id="56" w:name="_Toc202743021"/>
      <w:r w:rsidRPr="00DC0A45">
        <w:t>Conclusion</w:t>
      </w:r>
      <w:bookmarkEnd w:id="56"/>
    </w:p>
    <w:p w14:paraId="0729BCA5" w14:textId="1E395C50" w:rsidR="00052B3F" w:rsidRPr="00D06382" w:rsidRDefault="00052B3F" w:rsidP="00052B3F">
      <w:pPr>
        <w:jc w:val="both"/>
        <w:rPr>
          <w:rFonts w:cs="Times New Roman"/>
        </w:rPr>
      </w:pPr>
      <w:r w:rsidRPr="00D06382">
        <w:rPr>
          <w:rFonts w:cs="Times New Roman"/>
        </w:rPr>
        <w:t>Based on the comprehensive analysis of green building strategies and standards, this paper has outlined a robust framework for York University to develop and implement its own Net Zero Building Standard. The proposed standard aligns with and often exceeds leading global and local green building practices, positioning York University at the forefront of sustainable campus development.</w:t>
      </w:r>
    </w:p>
    <w:p w14:paraId="3C344FDC" w14:textId="16B87210" w:rsidR="00052B3F" w:rsidRPr="00D06382" w:rsidRDefault="00052B3F" w:rsidP="00052B3F">
      <w:pPr>
        <w:jc w:val="both"/>
        <w:rPr>
          <w:rFonts w:cs="Times New Roman"/>
        </w:rPr>
      </w:pPr>
      <w:r w:rsidRPr="00D06382">
        <w:rPr>
          <w:rFonts w:cs="Times New Roman"/>
        </w:rPr>
        <w:t>The review of existing frameworks, particularly the Toronto Green Standard and international certifications like LEED and Passive House, has provided a strong foundation for York</w:t>
      </w:r>
      <w:r w:rsidR="00027B17">
        <w:rPr>
          <w:rFonts w:cs="Times New Roman"/>
        </w:rPr>
        <w:t>’</w:t>
      </w:r>
      <w:r w:rsidRPr="00D06382">
        <w:rPr>
          <w:rFonts w:cs="Times New Roman"/>
        </w:rPr>
        <w:t>s bespoke approach. By incorporating the most stringent and relevant aspects of these standards, York University can ensure its buildings meet and exceed current best practices in energy efficiency, carbon reduction, and overall sustainability.</w:t>
      </w:r>
    </w:p>
    <w:p w14:paraId="1A54345F" w14:textId="3F4833EA" w:rsidR="00052B3F" w:rsidRPr="00D06382" w:rsidRDefault="00052B3F" w:rsidP="00052B3F">
      <w:pPr>
        <w:jc w:val="both"/>
        <w:rPr>
          <w:rFonts w:cs="Times New Roman"/>
        </w:rPr>
      </w:pPr>
      <w:r w:rsidRPr="00D06382">
        <w:rPr>
          <w:rFonts w:cs="Times New Roman"/>
        </w:rPr>
        <w:t>Case studies from peer institutions have also revealed valuable insights into successful implementation strategies, innovative technologies, and potential challenges. The experiences of institutions like the University of Toronto, University of Waterloo, and Humber College offer practical lessons in areas such as geothermal energy, district energy systems, and deep energy retrofits. These learnings have been integrated into York University</w:t>
      </w:r>
      <w:r w:rsidR="00027B17">
        <w:rPr>
          <w:rFonts w:cs="Times New Roman"/>
        </w:rPr>
        <w:t>’</w:t>
      </w:r>
      <w:r w:rsidRPr="00D06382">
        <w:rPr>
          <w:rFonts w:cs="Times New Roman"/>
        </w:rPr>
        <w:t>s proposed standard, ensuring a comprehensive and realistic approach to achieving net zero carbon emissions.</w:t>
      </w:r>
    </w:p>
    <w:p w14:paraId="16C83925" w14:textId="3DCB5E18" w:rsidR="00052B3F" w:rsidRPr="00D06382" w:rsidRDefault="00052B3F" w:rsidP="00052B3F">
      <w:pPr>
        <w:jc w:val="both"/>
        <w:rPr>
          <w:rFonts w:cs="Times New Roman"/>
        </w:rPr>
      </w:pPr>
      <w:r w:rsidRPr="00D06382">
        <w:rPr>
          <w:rFonts w:cs="Times New Roman"/>
        </w:rPr>
        <w:t>The proposed Net Zero Building Standard for York University addresses critical areas, including energy performance, water conservation, materials and resources, indoor environmental quality, diversity and inclusion, and resilience. The emphasis on holistic sustainability, including occupant health, biodiversity, and social equity considerations, aligns with York</w:t>
      </w:r>
      <w:r w:rsidR="00027B17">
        <w:rPr>
          <w:rFonts w:cs="Times New Roman"/>
        </w:rPr>
        <w:t>’</w:t>
      </w:r>
      <w:r w:rsidRPr="00D06382">
        <w:rPr>
          <w:rFonts w:cs="Times New Roman"/>
        </w:rPr>
        <w:t>s broader institutional values and commitments. Furthermore, the phased implementation plan and strategies for stakeholder engagement and continuous improvement provide a practical framework for realizing the university</w:t>
      </w:r>
      <w:r w:rsidR="00027B17">
        <w:rPr>
          <w:rFonts w:cs="Times New Roman"/>
        </w:rPr>
        <w:t>’</w:t>
      </w:r>
      <w:r w:rsidRPr="00D06382">
        <w:rPr>
          <w:rFonts w:cs="Times New Roman"/>
        </w:rPr>
        <w:t>s sustainability goals.</w:t>
      </w:r>
    </w:p>
    <w:p w14:paraId="1A44F98A" w14:textId="77777777" w:rsidR="00052B3F" w:rsidRPr="00D06382" w:rsidRDefault="00052B3F" w:rsidP="00052B3F">
      <w:pPr>
        <w:jc w:val="both"/>
        <w:rPr>
          <w:rFonts w:cs="Times New Roman"/>
        </w:rPr>
      </w:pPr>
      <w:r w:rsidRPr="00D06382">
        <w:rPr>
          <w:rFonts w:cs="Times New Roman"/>
        </w:rPr>
        <w:lastRenderedPageBreak/>
        <w:t>As York University moves forward with this green building strategy, it has the potential to reduce its environmental impact, enhance its academic mission, improve campus life, and demonstrate leadership in sustainable development.</w:t>
      </w:r>
    </w:p>
    <w:p w14:paraId="6325E657" w14:textId="77777777" w:rsidR="00052B3F" w:rsidRPr="00D06382" w:rsidRDefault="00052B3F" w:rsidP="00052B3F">
      <w:pPr>
        <w:jc w:val="both"/>
        <w:rPr>
          <w:rFonts w:cs="Times New Roman"/>
        </w:rPr>
      </w:pPr>
    </w:p>
    <w:p w14:paraId="40029530" w14:textId="77777777" w:rsidR="00052B3F" w:rsidRPr="00D06382" w:rsidRDefault="00052B3F" w:rsidP="00052B3F">
      <w:pPr>
        <w:jc w:val="both"/>
        <w:rPr>
          <w:rFonts w:cs="Times New Roman"/>
        </w:rPr>
      </w:pPr>
    </w:p>
    <w:p w14:paraId="072A0B0A" w14:textId="77777777" w:rsidR="005C04D1" w:rsidRDefault="005C04D1" w:rsidP="00052B3F">
      <w:pPr>
        <w:jc w:val="both"/>
        <w:rPr>
          <w:rFonts w:cs="Times New Roman"/>
        </w:rPr>
      </w:pPr>
    </w:p>
    <w:p w14:paraId="20EB8879" w14:textId="77777777" w:rsidR="00DC0A45" w:rsidRDefault="00DC0A45" w:rsidP="00052B3F">
      <w:pPr>
        <w:jc w:val="both"/>
        <w:rPr>
          <w:rFonts w:cs="Times New Roman"/>
        </w:rPr>
      </w:pPr>
    </w:p>
    <w:p w14:paraId="423B23D6" w14:textId="77777777" w:rsidR="00DC0A45" w:rsidRDefault="00DC0A45" w:rsidP="00052B3F">
      <w:pPr>
        <w:jc w:val="both"/>
        <w:rPr>
          <w:rFonts w:cs="Times New Roman"/>
        </w:rPr>
      </w:pPr>
    </w:p>
    <w:p w14:paraId="7941D1DF" w14:textId="77777777" w:rsidR="00DC0A45" w:rsidRDefault="00DC0A45" w:rsidP="00052B3F">
      <w:pPr>
        <w:jc w:val="both"/>
        <w:rPr>
          <w:rFonts w:cs="Times New Roman"/>
        </w:rPr>
      </w:pPr>
    </w:p>
    <w:p w14:paraId="05DEC775" w14:textId="77777777" w:rsidR="00DC0A45" w:rsidRDefault="00DC0A45" w:rsidP="00052B3F">
      <w:pPr>
        <w:jc w:val="both"/>
        <w:rPr>
          <w:rFonts w:cs="Times New Roman"/>
        </w:rPr>
      </w:pPr>
    </w:p>
    <w:p w14:paraId="31AE5B7C" w14:textId="77777777" w:rsidR="00DC0A45" w:rsidRDefault="00DC0A45" w:rsidP="00052B3F">
      <w:pPr>
        <w:jc w:val="both"/>
        <w:rPr>
          <w:rFonts w:cs="Times New Roman"/>
        </w:rPr>
      </w:pPr>
    </w:p>
    <w:p w14:paraId="770B915E" w14:textId="77777777" w:rsidR="00DC0A45" w:rsidRDefault="00DC0A45" w:rsidP="00052B3F">
      <w:pPr>
        <w:jc w:val="both"/>
        <w:rPr>
          <w:rFonts w:cs="Times New Roman"/>
        </w:rPr>
      </w:pPr>
    </w:p>
    <w:p w14:paraId="02E4F7DE" w14:textId="77777777" w:rsidR="00DC0A45" w:rsidRDefault="00DC0A45" w:rsidP="00052B3F">
      <w:pPr>
        <w:jc w:val="both"/>
        <w:rPr>
          <w:rFonts w:cs="Times New Roman"/>
        </w:rPr>
      </w:pPr>
    </w:p>
    <w:p w14:paraId="6DF760BB" w14:textId="77777777" w:rsidR="00DC0A45" w:rsidRDefault="00DC0A45" w:rsidP="00052B3F">
      <w:pPr>
        <w:jc w:val="both"/>
        <w:rPr>
          <w:rFonts w:cs="Times New Roman"/>
        </w:rPr>
      </w:pPr>
    </w:p>
    <w:p w14:paraId="414C7D46" w14:textId="77777777" w:rsidR="00DC0A45" w:rsidRDefault="00DC0A45" w:rsidP="00052B3F">
      <w:pPr>
        <w:jc w:val="both"/>
        <w:rPr>
          <w:rFonts w:cs="Times New Roman"/>
        </w:rPr>
      </w:pPr>
    </w:p>
    <w:p w14:paraId="5968411A" w14:textId="77777777" w:rsidR="00DC0A45" w:rsidRDefault="00DC0A45" w:rsidP="00052B3F">
      <w:pPr>
        <w:jc w:val="both"/>
        <w:rPr>
          <w:rFonts w:cs="Times New Roman"/>
        </w:rPr>
      </w:pPr>
    </w:p>
    <w:p w14:paraId="4A4D0514" w14:textId="77777777" w:rsidR="00DC0A45" w:rsidRDefault="00DC0A45" w:rsidP="00052B3F">
      <w:pPr>
        <w:jc w:val="both"/>
        <w:rPr>
          <w:rFonts w:cs="Times New Roman"/>
        </w:rPr>
      </w:pPr>
    </w:p>
    <w:p w14:paraId="7EFBCFC8" w14:textId="77777777" w:rsidR="00DC0A45" w:rsidRDefault="00DC0A45" w:rsidP="00052B3F">
      <w:pPr>
        <w:jc w:val="both"/>
        <w:rPr>
          <w:rFonts w:cs="Times New Roman"/>
        </w:rPr>
      </w:pPr>
    </w:p>
    <w:p w14:paraId="183B97AF" w14:textId="77777777" w:rsidR="006C799F" w:rsidRDefault="006C799F" w:rsidP="00052B3F">
      <w:pPr>
        <w:jc w:val="both"/>
        <w:rPr>
          <w:rFonts w:cs="Times New Roman"/>
        </w:rPr>
      </w:pPr>
    </w:p>
    <w:p w14:paraId="6D690F1C" w14:textId="77777777" w:rsidR="006C799F" w:rsidRDefault="006C799F" w:rsidP="00052B3F">
      <w:pPr>
        <w:jc w:val="both"/>
        <w:rPr>
          <w:rFonts w:cs="Times New Roman"/>
        </w:rPr>
      </w:pPr>
    </w:p>
    <w:p w14:paraId="21FDB799" w14:textId="77777777" w:rsidR="006C799F" w:rsidRDefault="006C799F" w:rsidP="00052B3F">
      <w:pPr>
        <w:jc w:val="both"/>
        <w:rPr>
          <w:rFonts w:cs="Times New Roman"/>
        </w:rPr>
      </w:pPr>
    </w:p>
    <w:p w14:paraId="4D7217E0" w14:textId="77777777" w:rsidR="006C799F" w:rsidRDefault="006C799F" w:rsidP="00052B3F">
      <w:pPr>
        <w:jc w:val="both"/>
        <w:rPr>
          <w:rFonts w:cs="Times New Roman"/>
        </w:rPr>
      </w:pPr>
    </w:p>
    <w:p w14:paraId="2BC65441" w14:textId="77777777" w:rsidR="00DC0A45" w:rsidRPr="00D06382" w:rsidRDefault="00DC0A45" w:rsidP="00052B3F">
      <w:pPr>
        <w:jc w:val="both"/>
        <w:rPr>
          <w:rFonts w:cs="Times New Roman"/>
        </w:rPr>
      </w:pPr>
    </w:p>
    <w:p w14:paraId="2F4CE8D6" w14:textId="15C25C4D" w:rsidR="00052B3F" w:rsidRPr="003B396C" w:rsidRDefault="00052B3F" w:rsidP="003B396C">
      <w:pPr>
        <w:pStyle w:val="Heading1"/>
      </w:pPr>
      <w:bookmarkStart w:id="57" w:name="_Toc202743022"/>
      <w:r w:rsidRPr="003B396C">
        <w:lastRenderedPageBreak/>
        <w:t>References</w:t>
      </w:r>
      <w:bookmarkEnd w:id="57"/>
    </w:p>
    <w:bookmarkEnd w:id="0"/>
    <w:p w14:paraId="660D523B" w14:textId="77777777" w:rsidR="001972D8" w:rsidRDefault="001972D8" w:rsidP="00052B3F">
      <w:r w:rsidRPr="00D06382">
        <w:rPr>
          <w:rFonts w:cs="Times New Roman"/>
        </w:rPr>
        <w:t xml:space="preserve">AASHE. (2024). About STARS. </w:t>
      </w:r>
      <w:hyperlink r:id="rId18" w:history="1">
        <w:r w:rsidRPr="00D06382">
          <w:rPr>
            <w:rStyle w:val="Hyperlink"/>
            <w:rFonts w:cs="Times New Roman"/>
          </w:rPr>
          <w:t>https://stars.aashe.org/about-stars/</w:t>
        </w:r>
      </w:hyperlink>
    </w:p>
    <w:p w14:paraId="28189367" w14:textId="77777777" w:rsidR="001972D8" w:rsidRPr="00D06382" w:rsidRDefault="001972D8" w:rsidP="00052B3F">
      <w:pPr>
        <w:rPr>
          <w:rFonts w:cs="Times New Roman"/>
        </w:rPr>
      </w:pPr>
      <w:r w:rsidRPr="00D06382">
        <w:rPr>
          <w:rFonts w:cs="Times New Roman"/>
        </w:rPr>
        <w:t xml:space="preserve">Algonquin College. (2021). Energy services. </w:t>
      </w:r>
      <w:hyperlink r:id="rId19" w:history="1">
        <w:r w:rsidRPr="00D06382">
          <w:rPr>
            <w:rStyle w:val="Hyperlink"/>
            <w:rFonts w:cs="Times New Roman"/>
          </w:rPr>
          <w:t>https://assets.new.siemens.com/siemens/assets/api/uuid:0afaa259-b721-4bc3-8830-ace5269ced2f/ca-ifl-en-case-study-algonquin-2021.pdf</w:t>
        </w:r>
      </w:hyperlink>
    </w:p>
    <w:p w14:paraId="51DB9475" w14:textId="77777777" w:rsidR="001972D8" w:rsidRDefault="001972D8" w:rsidP="00052B3F">
      <w:pPr>
        <w:rPr>
          <w:rFonts w:cs="Times New Roman"/>
        </w:rPr>
      </w:pPr>
      <w:r w:rsidRPr="00AA5CD9">
        <w:rPr>
          <w:rFonts w:cs="Times New Roman"/>
        </w:rPr>
        <w:t xml:space="preserve">American Institute of Architects. (2024). AIA Framework for Design Excellence. </w:t>
      </w:r>
      <w:hyperlink r:id="rId20" w:history="1">
        <w:r w:rsidRPr="006E3BCA">
          <w:rPr>
            <w:rStyle w:val="Hyperlink"/>
            <w:rFonts w:cs="Times New Roman"/>
          </w:rPr>
          <w:t>https://www.aia.org/design-excellence/aia-framework-design-excellence</w:t>
        </w:r>
      </w:hyperlink>
    </w:p>
    <w:p w14:paraId="6FDB35A0" w14:textId="77777777" w:rsidR="001972D8" w:rsidRPr="00D06382" w:rsidRDefault="001972D8" w:rsidP="00052B3F">
      <w:pPr>
        <w:rPr>
          <w:rFonts w:cs="Times New Roman"/>
        </w:rPr>
      </w:pPr>
      <w:r w:rsidRPr="00D06382">
        <w:rPr>
          <w:rFonts w:cs="Times New Roman"/>
        </w:rPr>
        <w:t xml:space="preserve">Asmar, M. E., Chokor, A., &amp; Srour, I. M. (2014). Occupant satisfaction with indoor environmental quality: A study of the LEED-certified buildings on the Arizona State University campus. </w:t>
      </w:r>
      <w:r w:rsidRPr="00D06382">
        <w:rPr>
          <w:rFonts w:cs="Times New Roman"/>
          <w:i/>
          <w:iCs/>
        </w:rPr>
        <w:t>International Journal of Sustainable Built Environment</w:t>
      </w:r>
      <w:r w:rsidRPr="00D06382">
        <w:rPr>
          <w:rFonts w:cs="Times New Roman"/>
        </w:rPr>
        <w:t xml:space="preserve">, 3(2), 162-176. </w:t>
      </w:r>
    </w:p>
    <w:p w14:paraId="47A53542" w14:textId="77777777" w:rsidR="001972D8" w:rsidRPr="00D06382" w:rsidRDefault="001972D8" w:rsidP="00052B3F">
      <w:pPr>
        <w:rPr>
          <w:rFonts w:cs="Times New Roman"/>
        </w:rPr>
      </w:pPr>
      <w:r w:rsidRPr="00D06382">
        <w:rPr>
          <w:rFonts w:cs="Times New Roman"/>
        </w:rPr>
        <w:t xml:space="preserve">Bakacs, M. E., Rossi, R. J., Obropta, C. C., &amp; Hubbs, A. (2022). Building student engagement in green infrastructure through hands-on learning and applied research. </w:t>
      </w:r>
      <w:r w:rsidRPr="00D06382">
        <w:rPr>
          <w:rFonts w:cs="Times New Roman"/>
          <w:i/>
          <w:iCs/>
        </w:rPr>
        <w:t>Journal of Environmental Studies and Sciences</w:t>
      </w:r>
      <w:r w:rsidRPr="00D06382">
        <w:rPr>
          <w:rFonts w:cs="Times New Roman"/>
        </w:rPr>
        <w:t xml:space="preserve">, 12(1), 123-132. </w:t>
      </w:r>
    </w:p>
    <w:p w14:paraId="27F901AA" w14:textId="77777777" w:rsidR="001972D8" w:rsidRPr="00D06382" w:rsidRDefault="001972D8" w:rsidP="00052B3F">
      <w:pPr>
        <w:rPr>
          <w:rFonts w:cs="Times New Roman"/>
        </w:rPr>
      </w:pPr>
      <w:r w:rsidRPr="00D06382">
        <w:rPr>
          <w:rFonts w:cs="Times New Roman"/>
        </w:rPr>
        <w:t xml:space="preserve">BOMA Canada. (2024). BOMA BEST Sustainable Buildings Certification. </w:t>
      </w:r>
      <w:hyperlink r:id="rId21" w:history="1">
        <w:r w:rsidRPr="00D06382">
          <w:rPr>
            <w:rStyle w:val="Hyperlink"/>
            <w:rFonts w:cs="Times New Roman"/>
          </w:rPr>
          <w:t>https://bomabest.org/</w:t>
        </w:r>
      </w:hyperlink>
    </w:p>
    <w:p w14:paraId="16C1A4B0" w14:textId="77777777" w:rsidR="001972D8" w:rsidRPr="00D06382" w:rsidRDefault="001972D8" w:rsidP="00052B3F">
      <w:pPr>
        <w:rPr>
          <w:rFonts w:cs="Times New Roman"/>
        </w:rPr>
      </w:pPr>
      <w:r w:rsidRPr="00D06382">
        <w:rPr>
          <w:rFonts w:cs="Times New Roman"/>
        </w:rPr>
        <w:t xml:space="preserve">CaGBC. (2024). LEED® Certified Projects in Canada. </w:t>
      </w:r>
      <w:hyperlink r:id="rId22" w:history="1">
        <w:r w:rsidRPr="00D06382">
          <w:rPr>
            <w:rStyle w:val="Hyperlink"/>
            <w:rFonts w:cs="Times New Roman"/>
          </w:rPr>
          <w:t>https://www.cagbc.org/our-work/certification/leed/</w:t>
        </w:r>
      </w:hyperlink>
    </w:p>
    <w:p w14:paraId="1DD7A3D2" w14:textId="77777777" w:rsidR="001972D8" w:rsidRPr="00D06382" w:rsidRDefault="001972D8" w:rsidP="00052B3F">
      <w:pPr>
        <w:rPr>
          <w:rFonts w:cs="Times New Roman"/>
        </w:rPr>
      </w:pPr>
      <w:r w:rsidRPr="00D06382">
        <w:rPr>
          <w:rFonts w:cs="Times New Roman"/>
        </w:rPr>
        <w:t xml:space="preserve">Canada Green Building Council. (2022). Zero Carbon Building Standard Version 3. </w:t>
      </w:r>
      <w:hyperlink r:id="rId23" w:history="1">
        <w:r w:rsidRPr="00D06382">
          <w:rPr>
            <w:rStyle w:val="Hyperlink"/>
            <w:rFonts w:cs="Times New Roman"/>
          </w:rPr>
          <w:t>https://www.cagbc.org/our-work/certification/zero-carbon-building-standard/</w:t>
        </w:r>
      </w:hyperlink>
    </w:p>
    <w:p w14:paraId="74B46562" w14:textId="77777777" w:rsidR="001972D8" w:rsidRPr="00D06382" w:rsidRDefault="001972D8" w:rsidP="00052B3F">
      <w:pPr>
        <w:rPr>
          <w:rFonts w:cs="Times New Roman"/>
        </w:rPr>
      </w:pPr>
      <w:r w:rsidRPr="00D06382">
        <w:rPr>
          <w:rFonts w:cs="Times New Roman"/>
        </w:rPr>
        <w:t xml:space="preserve">Chance, S. M. (2012). Planning for environmental sustainability: Learning from LEED and the USGBC. </w:t>
      </w:r>
      <w:r w:rsidRPr="00D06382">
        <w:rPr>
          <w:rFonts w:cs="Times New Roman"/>
          <w:i/>
          <w:iCs/>
        </w:rPr>
        <w:t>Planning for Higher Education</w:t>
      </w:r>
      <w:r w:rsidRPr="00D06382">
        <w:rPr>
          <w:rFonts w:cs="Times New Roman"/>
        </w:rPr>
        <w:t>, 41(1), 194-233.</w:t>
      </w:r>
    </w:p>
    <w:p w14:paraId="47A26659" w14:textId="77777777" w:rsidR="001972D8" w:rsidRPr="00D06382" w:rsidRDefault="001972D8" w:rsidP="00052B3F">
      <w:pPr>
        <w:rPr>
          <w:rFonts w:cs="Times New Roman"/>
        </w:rPr>
      </w:pPr>
      <w:r w:rsidRPr="00D06382">
        <w:rPr>
          <w:rFonts w:cs="Times New Roman"/>
        </w:rPr>
        <w:t xml:space="preserve">Chen, T., Wang, M., Su, J., Ikram, R. M., &amp; Li, J. (2023). Application of Internet of Things (IoT) technologies in Green Stormwater Infrastructure (GSI): A bibliometric review. </w:t>
      </w:r>
      <w:r w:rsidRPr="00D06382">
        <w:rPr>
          <w:rFonts w:cs="Times New Roman"/>
          <w:i/>
          <w:iCs/>
        </w:rPr>
        <w:t>Sustainability</w:t>
      </w:r>
      <w:r w:rsidRPr="00D06382">
        <w:rPr>
          <w:rFonts w:cs="Times New Roman"/>
        </w:rPr>
        <w:t xml:space="preserve">, 15(3), 2537. </w:t>
      </w:r>
    </w:p>
    <w:p w14:paraId="3C3D4703" w14:textId="77777777" w:rsidR="001972D8" w:rsidRPr="00D06382" w:rsidRDefault="001972D8" w:rsidP="00052B3F">
      <w:pPr>
        <w:rPr>
          <w:rFonts w:cs="Times New Roman"/>
        </w:rPr>
      </w:pPr>
      <w:r w:rsidRPr="00D06382">
        <w:rPr>
          <w:rFonts w:cs="Times New Roman"/>
        </w:rPr>
        <w:t xml:space="preserve">City of Toronto. (2021). Toronto Green Standard. </w:t>
      </w:r>
      <w:hyperlink r:id="rId24" w:history="1">
        <w:r w:rsidRPr="00D06382">
          <w:rPr>
            <w:rStyle w:val="Hyperlink"/>
            <w:rFonts w:cs="Times New Roman"/>
          </w:rPr>
          <w:t>https://www.toronto.ca/city-government/planning-development/official-plan-guidelines/toronto-green-standard/</w:t>
        </w:r>
      </w:hyperlink>
    </w:p>
    <w:p w14:paraId="15DA2066" w14:textId="77777777" w:rsidR="001972D8" w:rsidRPr="00D06382" w:rsidRDefault="001972D8" w:rsidP="00052B3F">
      <w:pPr>
        <w:rPr>
          <w:rFonts w:cs="Times New Roman"/>
        </w:rPr>
      </w:pPr>
      <w:r w:rsidRPr="00D06382">
        <w:rPr>
          <w:rFonts w:cs="Times New Roman"/>
        </w:rPr>
        <w:t xml:space="preserve">City of Toronto. (2022a). Toronto Green Standard. </w:t>
      </w:r>
      <w:hyperlink r:id="rId25" w:history="1">
        <w:r w:rsidRPr="00D06382">
          <w:rPr>
            <w:rStyle w:val="Hyperlink"/>
            <w:rFonts w:cs="Times New Roman"/>
          </w:rPr>
          <w:t>https://www.toronto.ca/city-government/planning-development/official-plan-guidelines/toronto-green-standard/</w:t>
        </w:r>
      </w:hyperlink>
    </w:p>
    <w:p w14:paraId="6C19A884" w14:textId="77777777" w:rsidR="001972D8" w:rsidRPr="00D06382" w:rsidRDefault="001972D8" w:rsidP="00052B3F">
      <w:pPr>
        <w:rPr>
          <w:rFonts w:cs="Times New Roman"/>
        </w:rPr>
      </w:pPr>
      <w:r w:rsidRPr="00D06382">
        <w:rPr>
          <w:rFonts w:cs="Times New Roman"/>
        </w:rPr>
        <w:t xml:space="preserve">City of Toronto. (2022b). Toronto Green Standard Version 4. </w:t>
      </w:r>
      <w:hyperlink r:id="rId26" w:history="1">
        <w:r w:rsidRPr="00D06382">
          <w:rPr>
            <w:rStyle w:val="Hyperlink"/>
            <w:rFonts w:cs="Times New Roman"/>
          </w:rPr>
          <w:t>https://www.toronto.ca/city-government/planning-development/official-plan-guidelines/toronto-green-standard/toronto-green-standard-version-4/</w:t>
        </w:r>
      </w:hyperlink>
    </w:p>
    <w:p w14:paraId="2F62CA63" w14:textId="77777777" w:rsidR="001972D8" w:rsidRPr="00D06382" w:rsidRDefault="001972D8" w:rsidP="00052B3F">
      <w:pPr>
        <w:rPr>
          <w:rFonts w:cs="Times New Roman"/>
        </w:rPr>
      </w:pPr>
      <w:r w:rsidRPr="00D06382">
        <w:rPr>
          <w:rFonts w:cs="Times New Roman"/>
        </w:rPr>
        <w:t xml:space="preserve">City of Toronto. (2022c). Toronto Green Standard Version 4 Checklist: New Mid to High-Rise Residential and All Non-Residential Development. </w:t>
      </w:r>
      <w:hyperlink r:id="rId27" w:history="1">
        <w:r w:rsidRPr="00D06382">
          <w:rPr>
            <w:rStyle w:val="Hyperlink"/>
            <w:rFonts w:cs="Times New Roman"/>
          </w:rPr>
          <w:t>https://www.toronto.ca/wp-</w:t>
        </w:r>
        <w:r w:rsidRPr="00D06382">
          <w:rPr>
            <w:rStyle w:val="Hyperlink"/>
            <w:rFonts w:cs="Times New Roman"/>
          </w:rPr>
          <w:lastRenderedPageBreak/>
          <w:t>content/uploads/2022/03/8e69-City-Planning-TGS-Checklist-Version-4-Mid-to-High-Rise-and-Non-Residential.pdf</w:t>
        </w:r>
      </w:hyperlink>
    </w:p>
    <w:p w14:paraId="7BFB0A28" w14:textId="77777777" w:rsidR="001972D8" w:rsidRPr="00D06382" w:rsidRDefault="001972D8" w:rsidP="00052B3F">
      <w:pPr>
        <w:rPr>
          <w:rFonts w:cs="Times New Roman"/>
        </w:rPr>
      </w:pPr>
      <w:r w:rsidRPr="00D06382">
        <w:rPr>
          <w:rFonts w:cs="Times New Roman"/>
        </w:rPr>
        <w:t xml:space="preserve">City of Toronto. (2022d). Toronto Green Standard Version 4 for Existing Buildings. </w:t>
      </w:r>
      <w:hyperlink r:id="rId28" w:history="1">
        <w:r w:rsidRPr="00D06382">
          <w:rPr>
            <w:rStyle w:val="Hyperlink"/>
            <w:rFonts w:cs="Times New Roman"/>
          </w:rPr>
          <w:t>https://www.toronto.ca/city-government/planning-development/official-plan-guidelines/toronto-green-standard/toronto-green-standard-version-4/existing-buildings/</w:t>
        </w:r>
      </w:hyperlink>
    </w:p>
    <w:p w14:paraId="68C1AAB2" w14:textId="77777777" w:rsidR="001972D8" w:rsidRPr="00D06382" w:rsidRDefault="001972D8" w:rsidP="00052B3F">
      <w:pPr>
        <w:rPr>
          <w:rFonts w:cs="Times New Roman"/>
        </w:rPr>
      </w:pPr>
      <w:r w:rsidRPr="00D06382">
        <w:rPr>
          <w:rFonts w:cs="Times New Roman"/>
        </w:rPr>
        <w:t xml:space="preserve">City of Toronto. (2022e). Toronto Green Standard Implementation. </w:t>
      </w:r>
      <w:hyperlink r:id="rId29" w:history="1">
        <w:r w:rsidRPr="00D06382">
          <w:rPr>
            <w:rStyle w:val="Hyperlink"/>
            <w:rFonts w:cs="Times New Roman"/>
          </w:rPr>
          <w:t>https://www.toronto.ca/city-government/planning-development/official-plan-guidelines/toronto-green-standard/toronto-green-standard-implementation/</w:t>
        </w:r>
      </w:hyperlink>
    </w:p>
    <w:p w14:paraId="68BE6CC4" w14:textId="77777777" w:rsidR="001972D8" w:rsidRPr="00D06382" w:rsidRDefault="001972D8" w:rsidP="00052B3F">
      <w:pPr>
        <w:rPr>
          <w:rFonts w:cs="Times New Roman"/>
        </w:rPr>
      </w:pPr>
      <w:r w:rsidRPr="00D06382">
        <w:rPr>
          <w:rFonts w:cs="Times New Roman"/>
        </w:rPr>
        <w:t xml:space="preserve">City of Toronto. (2022f). Development Charge Refund Program. </w:t>
      </w:r>
      <w:hyperlink r:id="rId30" w:history="1">
        <w:r w:rsidRPr="00D06382">
          <w:rPr>
            <w:rStyle w:val="Hyperlink"/>
            <w:rFonts w:cs="Times New Roman"/>
          </w:rPr>
          <w:t>https://www.toronto.ca/city-government/planning-development/official-plan-guidelines/toronto-green-standard/development-charge-refund-program/</w:t>
        </w:r>
      </w:hyperlink>
    </w:p>
    <w:p w14:paraId="6C5F8FF0" w14:textId="77777777" w:rsidR="001972D8" w:rsidRPr="00D06382" w:rsidRDefault="001972D8" w:rsidP="00052B3F">
      <w:pPr>
        <w:rPr>
          <w:rFonts w:cs="Times New Roman"/>
        </w:rPr>
      </w:pPr>
      <w:r w:rsidRPr="00D06382">
        <w:rPr>
          <w:rFonts w:cs="Times New Roman"/>
        </w:rPr>
        <w:t xml:space="preserve">City of Toronto. (2022g). TransformTO Net Zero Strategy. </w:t>
      </w:r>
      <w:hyperlink r:id="rId31" w:history="1">
        <w:r w:rsidRPr="00D06382">
          <w:rPr>
            <w:rStyle w:val="Hyperlink"/>
            <w:rFonts w:cs="Times New Roman"/>
          </w:rPr>
          <w:t>https://www.toronto.ca/services-payments/water-environment/environmentally-friendly-city-initiatives/transformto/</w:t>
        </w:r>
      </w:hyperlink>
    </w:p>
    <w:p w14:paraId="2921EA3E" w14:textId="77777777" w:rsidR="001972D8" w:rsidRPr="00D06382" w:rsidRDefault="001972D8" w:rsidP="00052B3F">
      <w:pPr>
        <w:rPr>
          <w:rFonts w:cs="Times New Roman"/>
        </w:rPr>
      </w:pPr>
      <w:r w:rsidRPr="00D06382">
        <w:rPr>
          <w:rFonts w:cs="Times New Roman"/>
        </w:rPr>
        <w:t xml:space="preserve">Coleman, S., Touchie, M. F., Robinson, J. B., &amp; Peters, T. (2018). Rethinking performance gaps: A regenerative sustainability approach to built environment performance assessment. </w:t>
      </w:r>
      <w:r w:rsidRPr="00D06382">
        <w:rPr>
          <w:rFonts w:cs="Times New Roman"/>
          <w:i/>
          <w:iCs/>
        </w:rPr>
        <w:t>Sustainability</w:t>
      </w:r>
      <w:r w:rsidRPr="00D06382">
        <w:rPr>
          <w:rFonts w:cs="Times New Roman"/>
        </w:rPr>
        <w:t xml:space="preserve">, 10(12), 4829. </w:t>
      </w:r>
    </w:p>
    <w:p w14:paraId="15241056" w14:textId="77777777" w:rsidR="001972D8" w:rsidRPr="00D06382" w:rsidRDefault="001972D8" w:rsidP="00052B3F">
      <w:pPr>
        <w:rPr>
          <w:rFonts w:cs="Times New Roman"/>
        </w:rPr>
      </w:pPr>
      <w:r w:rsidRPr="00D06382">
        <w:rPr>
          <w:rFonts w:cs="Times New Roman"/>
        </w:rPr>
        <w:t xml:space="preserve">Concordia University. (2024). Zero Waste. </w:t>
      </w:r>
      <w:hyperlink r:id="rId32" w:history="1">
        <w:r w:rsidRPr="00D06382">
          <w:rPr>
            <w:rStyle w:val="Hyperlink"/>
            <w:rFonts w:cs="Times New Roman"/>
          </w:rPr>
          <w:t>https://www.concordia.ca/sustainability/campus/zero-waste.html</w:t>
        </w:r>
      </w:hyperlink>
    </w:p>
    <w:p w14:paraId="2393757B" w14:textId="77777777" w:rsidR="001972D8" w:rsidRPr="00D06382" w:rsidRDefault="001972D8" w:rsidP="00052B3F">
      <w:pPr>
        <w:rPr>
          <w:rFonts w:cs="Times New Roman"/>
        </w:rPr>
      </w:pPr>
      <w:r w:rsidRPr="00D06382">
        <w:rPr>
          <w:rFonts w:cs="Times New Roman"/>
        </w:rPr>
        <w:t xml:space="preserve">Darko, A., &amp; Chan, A. P. (2017). Review of barriers to green building adoption. </w:t>
      </w:r>
      <w:r w:rsidRPr="00D06382">
        <w:rPr>
          <w:rFonts w:cs="Times New Roman"/>
          <w:i/>
          <w:iCs/>
        </w:rPr>
        <w:t>Sustainable Development</w:t>
      </w:r>
      <w:r w:rsidRPr="00D06382">
        <w:rPr>
          <w:rFonts w:cs="Times New Roman"/>
        </w:rPr>
        <w:t xml:space="preserve">, 25(3), 167-179. </w:t>
      </w:r>
    </w:p>
    <w:p w14:paraId="6B0EB909" w14:textId="77777777" w:rsidR="001972D8" w:rsidRPr="00D06382" w:rsidRDefault="001972D8" w:rsidP="00052B3F">
      <w:pPr>
        <w:rPr>
          <w:rFonts w:cs="Times New Roman"/>
        </w:rPr>
      </w:pPr>
      <w:r w:rsidRPr="00D06382">
        <w:rPr>
          <w:rFonts w:cs="Times New Roman"/>
        </w:rPr>
        <w:t xml:space="preserve">Doan, D. T., Ghaffarianhoseini, A., Naismith, N., Zhang, T., Ghaffarianhoseini, A., &amp; Tookey, J. (2017). A critical comparison of green building rating systems. </w:t>
      </w:r>
      <w:r w:rsidRPr="00D06382">
        <w:rPr>
          <w:rFonts w:cs="Times New Roman"/>
          <w:i/>
          <w:iCs/>
        </w:rPr>
        <w:t>Building and Environment</w:t>
      </w:r>
      <w:r w:rsidRPr="00D06382">
        <w:rPr>
          <w:rFonts w:cs="Times New Roman"/>
        </w:rPr>
        <w:t xml:space="preserve">, 123, 243-260. </w:t>
      </w:r>
    </w:p>
    <w:p w14:paraId="2EDD87CE" w14:textId="77777777" w:rsidR="001972D8" w:rsidRPr="00D06382" w:rsidRDefault="001972D8" w:rsidP="00052B3F">
      <w:pPr>
        <w:rPr>
          <w:rFonts w:cs="Times New Roman"/>
        </w:rPr>
      </w:pPr>
      <w:r w:rsidRPr="00D06382">
        <w:rPr>
          <w:rFonts w:cs="Times New Roman"/>
        </w:rPr>
        <w:t>Doocy, L. E., Zarmehr, A., &amp; Kider Jr., J. T. (2021). A critical review of the effectiveness of the Sustainability Tracking, Assessment &amp; Rating System (STARS) framework on campus sustainability. In Building Simulation Conference Proceedings.</w:t>
      </w:r>
    </w:p>
    <w:p w14:paraId="03AFB525" w14:textId="77777777" w:rsidR="001972D8" w:rsidRPr="00D06382" w:rsidRDefault="001972D8" w:rsidP="00052B3F">
      <w:pPr>
        <w:rPr>
          <w:rFonts w:cs="Times New Roman"/>
        </w:rPr>
      </w:pPr>
      <w:r w:rsidRPr="00D06382">
        <w:rPr>
          <w:rFonts w:cs="Times New Roman"/>
        </w:rPr>
        <w:t xml:space="preserve">Eckart, K., McPhee, Z., &amp; Bolisetti, T. (2017). Performance and implementation of low impact development – A review. </w:t>
      </w:r>
      <w:r w:rsidRPr="00D06382">
        <w:rPr>
          <w:rFonts w:cs="Times New Roman"/>
          <w:i/>
          <w:iCs/>
        </w:rPr>
        <w:t>Science of The Total Environment</w:t>
      </w:r>
      <w:r w:rsidRPr="00D06382">
        <w:rPr>
          <w:rFonts w:cs="Times New Roman"/>
        </w:rPr>
        <w:t xml:space="preserve">, 607-608, 413-432. </w:t>
      </w:r>
    </w:p>
    <w:p w14:paraId="06C4EE9D" w14:textId="77777777" w:rsidR="001972D8" w:rsidRPr="00D06382" w:rsidRDefault="001972D8" w:rsidP="00052B3F">
      <w:pPr>
        <w:rPr>
          <w:rFonts w:cs="Times New Roman"/>
        </w:rPr>
      </w:pPr>
      <w:r w:rsidRPr="00D06382">
        <w:rPr>
          <w:rFonts w:cs="Times New Roman"/>
        </w:rPr>
        <w:t xml:space="preserve">Faghihi, V., Hessami, A. R., &amp; Ford, D. N. (2015). Sustainable campus improvement program design using energy efficiency and conservation. </w:t>
      </w:r>
      <w:r w:rsidRPr="00D06382">
        <w:rPr>
          <w:rFonts w:cs="Times New Roman"/>
          <w:i/>
          <w:iCs/>
        </w:rPr>
        <w:t>Journal of Cleaner Production</w:t>
      </w:r>
      <w:r w:rsidRPr="00D06382">
        <w:rPr>
          <w:rFonts w:cs="Times New Roman"/>
        </w:rPr>
        <w:t xml:space="preserve">, 107, 400-409. </w:t>
      </w:r>
    </w:p>
    <w:p w14:paraId="4C02A9EB" w14:textId="77777777" w:rsidR="001972D8" w:rsidRPr="00D06382" w:rsidRDefault="001972D8" w:rsidP="00052B3F">
      <w:pPr>
        <w:rPr>
          <w:rFonts w:cs="Times New Roman"/>
        </w:rPr>
      </w:pPr>
      <w:r w:rsidRPr="00D06382">
        <w:rPr>
          <w:rFonts w:cs="Times New Roman"/>
        </w:rPr>
        <w:t>Filho, W. L., Brandli, L. L., Castro, P., &amp; Newman, J. (Eds.). (2019a). Handbook of theory and practice of sustainable development in higher education. Springer.</w:t>
      </w:r>
    </w:p>
    <w:p w14:paraId="1D3D6EA5" w14:textId="77777777" w:rsidR="001972D8" w:rsidRPr="00D06382" w:rsidRDefault="001972D8" w:rsidP="00052B3F">
      <w:pPr>
        <w:rPr>
          <w:rFonts w:cs="Times New Roman"/>
        </w:rPr>
      </w:pPr>
      <w:r w:rsidRPr="00D06382">
        <w:rPr>
          <w:rFonts w:cs="Times New Roman"/>
        </w:rPr>
        <w:lastRenderedPageBreak/>
        <w:t>Filho, W. L., Salvia, A. L., Pretorius, R. W., Brandli, L. L., Manolas, E., Alves, F., Azeiteiro, U., Rogers, J., Shiel, C., &amp; Do Paco, A. (Eds.). (2019b). Universities as living labs for sustainable development: Supporting the implementation of the sustainable development goals. Springer Nature.</w:t>
      </w:r>
    </w:p>
    <w:p w14:paraId="58CA745A" w14:textId="77777777" w:rsidR="001972D8" w:rsidRPr="00D06382" w:rsidRDefault="001972D8" w:rsidP="00052B3F">
      <w:pPr>
        <w:rPr>
          <w:rFonts w:cs="Times New Roman"/>
        </w:rPr>
      </w:pPr>
      <w:r w:rsidRPr="00D06382">
        <w:rPr>
          <w:rFonts w:cs="Times New Roman"/>
        </w:rPr>
        <w:t xml:space="preserve">Gou, Z., &amp; Xie, X. (2017). Evolving green building: Triple bottom line or regenerative design? </w:t>
      </w:r>
      <w:r w:rsidRPr="00D06382">
        <w:rPr>
          <w:rFonts w:cs="Times New Roman"/>
          <w:i/>
          <w:iCs/>
        </w:rPr>
        <w:t>Journal of Cleaner Production</w:t>
      </w:r>
      <w:r w:rsidRPr="00D06382">
        <w:rPr>
          <w:rFonts w:cs="Times New Roman"/>
        </w:rPr>
        <w:t xml:space="preserve">, 153, 600-607. </w:t>
      </w:r>
    </w:p>
    <w:p w14:paraId="69DE7450" w14:textId="77777777" w:rsidR="001972D8" w:rsidRPr="00D06382" w:rsidRDefault="001972D8" w:rsidP="00AA2718">
      <w:pPr>
        <w:rPr>
          <w:rFonts w:cs="Times New Roman"/>
        </w:rPr>
      </w:pPr>
      <w:r w:rsidRPr="00AA2718">
        <w:rPr>
          <w:rFonts w:cs="Times New Roman"/>
        </w:rPr>
        <w:t>Green Business Certification Inc. (2024, September 20). WELL certification: Your guide to healthy buildings in 2024. GBRI Online. https://www.gbrionline.org/well-certification-guide-2024/</w:t>
      </w:r>
    </w:p>
    <w:p w14:paraId="1621162E" w14:textId="77777777" w:rsidR="001972D8" w:rsidRPr="00D06382" w:rsidRDefault="001972D8" w:rsidP="00052B3F">
      <w:pPr>
        <w:rPr>
          <w:rFonts w:cs="Times New Roman"/>
        </w:rPr>
      </w:pPr>
      <w:r w:rsidRPr="00D06382">
        <w:rPr>
          <w:rFonts w:cs="Times New Roman"/>
        </w:rPr>
        <w:t xml:space="preserve">Henderson, J., Bieler, A., &amp; McKenzie, M. (2017). Climate change and the Canadian higher education system: An institutional policy analysis. </w:t>
      </w:r>
      <w:r w:rsidRPr="00D06382">
        <w:rPr>
          <w:rFonts w:cs="Times New Roman"/>
          <w:i/>
          <w:iCs/>
        </w:rPr>
        <w:t>Canadian Journal of Higher Education</w:t>
      </w:r>
      <w:r w:rsidRPr="00D06382">
        <w:rPr>
          <w:rFonts w:cs="Times New Roman"/>
        </w:rPr>
        <w:t>, 47(1), 1-26.</w:t>
      </w:r>
    </w:p>
    <w:p w14:paraId="0E5C9285" w14:textId="77777777" w:rsidR="001972D8" w:rsidRPr="00D06382" w:rsidRDefault="001972D8" w:rsidP="00052B3F">
      <w:pPr>
        <w:rPr>
          <w:rFonts w:cs="Times New Roman"/>
        </w:rPr>
      </w:pPr>
      <w:r w:rsidRPr="00D06382">
        <w:rPr>
          <w:rFonts w:cs="Times New Roman"/>
        </w:rPr>
        <w:t>Heylighen, A., Van der Linden, V., &amp; Van Steenwinkel, I. (2017). Ten questions concerning inclusive design of the built environment. </w:t>
      </w:r>
      <w:r w:rsidRPr="00D06382">
        <w:rPr>
          <w:rFonts w:cs="Times New Roman"/>
          <w:i/>
          <w:iCs/>
        </w:rPr>
        <w:t>Building and Environment</w:t>
      </w:r>
      <w:r w:rsidRPr="00D06382">
        <w:rPr>
          <w:rFonts w:cs="Times New Roman"/>
        </w:rPr>
        <w:t>, </w:t>
      </w:r>
      <w:r w:rsidRPr="00D06382">
        <w:rPr>
          <w:rFonts w:cs="Times New Roman"/>
          <w:i/>
          <w:iCs/>
        </w:rPr>
        <w:t>114</w:t>
      </w:r>
      <w:r w:rsidRPr="00D06382">
        <w:rPr>
          <w:rFonts w:cs="Times New Roman"/>
        </w:rPr>
        <w:t>, 507-517.</w:t>
      </w:r>
    </w:p>
    <w:p w14:paraId="106DA773" w14:textId="77777777" w:rsidR="001972D8" w:rsidRPr="00D06382" w:rsidRDefault="001972D8" w:rsidP="00052B3F">
      <w:pPr>
        <w:rPr>
          <w:rFonts w:cs="Times New Roman"/>
        </w:rPr>
      </w:pPr>
      <w:r w:rsidRPr="00D06382">
        <w:rPr>
          <w:rFonts w:cs="Times New Roman"/>
        </w:rPr>
        <w:t xml:space="preserve">Humber College. (2019). Sustainability Plan. </w:t>
      </w:r>
      <w:hyperlink r:id="rId33" w:history="1">
        <w:r w:rsidRPr="00D06382">
          <w:rPr>
            <w:rStyle w:val="Hyperlink"/>
            <w:rFonts w:cs="Times New Roman"/>
          </w:rPr>
          <w:t>https://humber.ca/sustainability/sites/default/files/NEWHumberSustainabilityBrochure2019-2024..pdf</w:t>
        </w:r>
      </w:hyperlink>
    </w:p>
    <w:p w14:paraId="59BDA3EB" w14:textId="77777777" w:rsidR="001972D8" w:rsidRPr="00D06382" w:rsidRDefault="001972D8" w:rsidP="00052B3F">
      <w:pPr>
        <w:rPr>
          <w:rFonts w:cs="Times New Roman"/>
        </w:rPr>
      </w:pPr>
      <w:r w:rsidRPr="00D06382">
        <w:rPr>
          <w:rFonts w:cs="Times New Roman"/>
        </w:rPr>
        <w:t xml:space="preserve">Humber College. (2024). Sustainability Trail. </w:t>
      </w:r>
      <w:hyperlink r:id="rId34" w:history="1">
        <w:r w:rsidRPr="00D06382">
          <w:rPr>
            <w:rStyle w:val="Hyperlink"/>
            <w:rFonts w:cs="Times New Roman"/>
          </w:rPr>
          <w:t>https://humber.ca/sustainability/trail</w:t>
        </w:r>
      </w:hyperlink>
    </w:p>
    <w:p w14:paraId="5B46509A" w14:textId="77777777" w:rsidR="001972D8" w:rsidRPr="00D06382" w:rsidRDefault="001972D8" w:rsidP="00F55DE1">
      <w:pPr>
        <w:rPr>
          <w:rFonts w:cs="Times New Roman"/>
        </w:rPr>
      </w:pPr>
      <w:r w:rsidRPr="00F55DE1">
        <w:t>International Conference on Health Promoting Universities &amp; Colleges (7th</w:t>
      </w:r>
      <w:r w:rsidRPr="00F55DE1">
        <w:rPr>
          <w:rFonts w:ascii="Arial" w:hAnsi="Arial" w:cs="Arial"/>
        </w:rPr>
        <w:t> </w:t>
      </w:r>
      <w:r w:rsidRPr="00F55DE1">
        <w:t>: 2015</w:t>
      </w:r>
      <w:r w:rsidRPr="00F55DE1">
        <w:rPr>
          <w:rFonts w:ascii="Arial" w:hAnsi="Arial" w:cs="Arial"/>
        </w:rPr>
        <w:t> </w:t>
      </w:r>
      <w:r w:rsidRPr="00F55DE1">
        <w:t>: Kelowna, (B.C.)). (2015). Okanagan Charter</w:t>
      </w:r>
      <w:r w:rsidRPr="00F55DE1">
        <w:rPr>
          <w:rFonts w:ascii="Arial" w:hAnsi="Arial" w:cs="Arial"/>
        </w:rPr>
        <w:t> </w:t>
      </w:r>
      <w:r w:rsidRPr="00F55DE1">
        <w:t>: An international charter for health promoting universities &amp; colleges [O]. doi:http://dx.doi.org/10.14288/1.0132754</w:t>
      </w:r>
    </w:p>
    <w:p w14:paraId="338F02CE" w14:textId="77777777" w:rsidR="001972D8" w:rsidRPr="00D06382" w:rsidRDefault="001972D8" w:rsidP="00052B3F">
      <w:pPr>
        <w:rPr>
          <w:rFonts w:cs="Times New Roman"/>
        </w:rPr>
      </w:pPr>
      <w:r w:rsidRPr="00D06382">
        <w:rPr>
          <w:rFonts w:cs="Times New Roman"/>
        </w:rPr>
        <w:t xml:space="preserve">Khoshbakht, M., Gou, Z., &amp; Dupre, K. (2019). Campus green buildings: Policy implications for the implementing, monitoring and evaluation of campus green building initiatives. IOP Conference Series: Earth and Environmental Science, 294, 012047. </w:t>
      </w:r>
    </w:p>
    <w:p w14:paraId="106B7108" w14:textId="77777777" w:rsidR="001972D8" w:rsidRPr="00D06382" w:rsidRDefault="001972D8" w:rsidP="00052B3F">
      <w:pPr>
        <w:rPr>
          <w:rFonts w:cs="Times New Roman"/>
        </w:rPr>
      </w:pPr>
      <w:r w:rsidRPr="00D06382">
        <w:rPr>
          <w:rFonts w:cs="Times New Roman"/>
        </w:rPr>
        <w:t xml:space="preserve">Klein-Banai, C., &amp; Theis, T. L. (2013). Quantitative analysis of factors affecting greenhouse gas emissions at institutions of higher education. </w:t>
      </w:r>
      <w:r w:rsidRPr="00D06382">
        <w:rPr>
          <w:rFonts w:cs="Times New Roman"/>
          <w:i/>
          <w:iCs/>
        </w:rPr>
        <w:t>Journal of Cleaner Production</w:t>
      </w:r>
      <w:r w:rsidRPr="00D06382">
        <w:rPr>
          <w:rFonts w:cs="Times New Roman"/>
        </w:rPr>
        <w:t xml:space="preserve">, 48, 29-38. </w:t>
      </w:r>
    </w:p>
    <w:p w14:paraId="04DBEB5E" w14:textId="77777777" w:rsidR="001972D8" w:rsidRPr="00D06382" w:rsidRDefault="001972D8" w:rsidP="00052B3F">
      <w:pPr>
        <w:rPr>
          <w:rFonts w:cs="Times New Roman"/>
        </w:rPr>
      </w:pPr>
      <w:r w:rsidRPr="00D06382">
        <w:rPr>
          <w:rFonts w:cs="Times New Roman"/>
        </w:rPr>
        <w:t xml:space="preserve">Leal Filho, W., Sálvia, A. L., Frankenberger, F., Akib, N. A., Sen, S. K., Sivapalan, S., Novo-Corti, I., Venkatesan, M., &amp; Emblen-Perry, K. (2020). Governance and sustainable development at higher education institutions. </w:t>
      </w:r>
      <w:r w:rsidRPr="00D06382">
        <w:rPr>
          <w:rFonts w:cs="Times New Roman"/>
          <w:i/>
          <w:iCs/>
        </w:rPr>
        <w:t>Environment, Development and Sustainability</w:t>
      </w:r>
      <w:r w:rsidRPr="00D06382">
        <w:rPr>
          <w:rFonts w:cs="Times New Roman"/>
        </w:rPr>
        <w:t xml:space="preserve">, 23, 6002-6020. </w:t>
      </w:r>
    </w:p>
    <w:p w14:paraId="03E1361E" w14:textId="77777777" w:rsidR="001972D8" w:rsidRPr="00D06382" w:rsidRDefault="001972D8" w:rsidP="00052B3F">
      <w:pPr>
        <w:rPr>
          <w:rFonts w:cs="Times New Roman"/>
        </w:rPr>
      </w:pPr>
      <w:r w:rsidRPr="00D06382">
        <w:rPr>
          <w:rFonts w:cs="Times New Roman"/>
        </w:rPr>
        <w:t>Lidstone, L. (2014). A content analysis of sustainability policies and plans from STARS-rated Canadian higher education institutions [Master</w:t>
      </w:r>
      <w:r>
        <w:rPr>
          <w:rFonts w:cs="Times New Roman"/>
        </w:rPr>
        <w:t>’</w:t>
      </w:r>
      <w:r w:rsidRPr="00D06382">
        <w:rPr>
          <w:rFonts w:cs="Times New Roman"/>
        </w:rPr>
        <w:t>s thesis, Dalhousie University]. DalSpace.</w:t>
      </w:r>
    </w:p>
    <w:p w14:paraId="71E5BC84" w14:textId="77777777" w:rsidR="001972D8" w:rsidRPr="00D06382" w:rsidRDefault="001972D8" w:rsidP="00052B3F">
      <w:pPr>
        <w:rPr>
          <w:rFonts w:cs="Times New Roman"/>
        </w:rPr>
      </w:pPr>
      <w:r w:rsidRPr="00D06382">
        <w:rPr>
          <w:rFonts w:cs="Times New Roman"/>
        </w:rPr>
        <w:t xml:space="preserve">Lidstone, L., Wright, T., &amp; Sherren, K. (2015). Canadian STARS-rated campus sustainability plans: Priorities, plan creation and design. </w:t>
      </w:r>
      <w:r w:rsidRPr="00D06382">
        <w:rPr>
          <w:rFonts w:cs="Times New Roman"/>
          <w:i/>
          <w:iCs/>
        </w:rPr>
        <w:t>Sustainability</w:t>
      </w:r>
      <w:r w:rsidRPr="00D06382">
        <w:rPr>
          <w:rFonts w:cs="Times New Roman"/>
        </w:rPr>
        <w:t xml:space="preserve">, 7(1), 725-746. </w:t>
      </w:r>
    </w:p>
    <w:p w14:paraId="157E06D2" w14:textId="77777777" w:rsidR="001972D8" w:rsidRPr="00D06382" w:rsidRDefault="001972D8" w:rsidP="00052B3F">
      <w:pPr>
        <w:rPr>
          <w:rFonts w:cs="Times New Roman"/>
        </w:rPr>
      </w:pPr>
      <w:r w:rsidRPr="00D06382">
        <w:rPr>
          <w:rFonts w:cs="Times New Roman"/>
        </w:rPr>
        <w:lastRenderedPageBreak/>
        <w:t xml:space="preserve">Lodi, C., Malaguti, V., Contini, F., Sala, L., Muscio, A., &amp; Tartarini, P. (2017). University energy planning for reducing energy consumption and GHG emissions: The case study of a university campus in Italy. </w:t>
      </w:r>
      <w:r w:rsidRPr="00D06382">
        <w:rPr>
          <w:rFonts w:cs="Times New Roman"/>
          <w:i/>
          <w:iCs/>
        </w:rPr>
        <w:t>International Journal of Heat and Technology</w:t>
      </w:r>
      <w:r w:rsidRPr="00D06382">
        <w:rPr>
          <w:rFonts w:cs="Times New Roman"/>
        </w:rPr>
        <w:t xml:space="preserve">, 35(S1), S27-S32. </w:t>
      </w:r>
    </w:p>
    <w:p w14:paraId="1ED86B4D" w14:textId="77777777" w:rsidR="001972D8" w:rsidRPr="00D06382" w:rsidRDefault="001972D8" w:rsidP="00052B3F">
      <w:pPr>
        <w:rPr>
          <w:rFonts w:cs="Times New Roman"/>
        </w:rPr>
      </w:pPr>
      <w:r w:rsidRPr="00D06382">
        <w:rPr>
          <w:rFonts w:cs="Times New Roman"/>
        </w:rPr>
        <w:t xml:space="preserve">Lozano, R., Ceulemans, K., Alonso-Almeida, M., Huisingh, D., Lozano, F. J., Waas, T., Lambrechts, W., Lukman, R., &amp; Hugé, J. (2015). A review of commitment and implementation of sustainable development in higher education: Results from a worldwide survey. </w:t>
      </w:r>
      <w:r w:rsidRPr="00D06382">
        <w:rPr>
          <w:rFonts w:cs="Times New Roman"/>
          <w:i/>
          <w:iCs/>
        </w:rPr>
        <w:t>Journal of Cleaner Production</w:t>
      </w:r>
      <w:r w:rsidRPr="00D06382">
        <w:rPr>
          <w:rFonts w:cs="Times New Roman"/>
        </w:rPr>
        <w:t xml:space="preserve">, 108, 1-18. </w:t>
      </w:r>
    </w:p>
    <w:p w14:paraId="6F99279C" w14:textId="77777777" w:rsidR="001972D8" w:rsidRPr="00D06382" w:rsidRDefault="001972D8" w:rsidP="00052B3F">
      <w:pPr>
        <w:rPr>
          <w:rFonts w:cs="Times New Roman"/>
        </w:rPr>
      </w:pPr>
      <w:r w:rsidRPr="00D06382">
        <w:rPr>
          <w:rFonts w:cs="Times New Roman"/>
        </w:rPr>
        <w:t xml:space="preserve">MacNaughton, P., Satish, U., Laurent, J. G. C., Flanigan, S., Vallarino, J., Coull, B., Spengler, J. D., &amp; Allen, J. G. (2017). The impact of working in a green certified building on cognitive function and health. </w:t>
      </w:r>
      <w:r w:rsidRPr="00D06382">
        <w:rPr>
          <w:rFonts w:cs="Times New Roman"/>
          <w:i/>
          <w:iCs/>
        </w:rPr>
        <w:t>Building and Environment</w:t>
      </w:r>
      <w:r w:rsidRPr="00D06382">
        <w:rPr>
          <w:rFonts w:cs="Times New Roman"/>
        </w:rPr>
        <w:t xml:space="preserve">, 114, 178-186. </w:t>
      </w:r>
    </w:p>
    <w:p w14:paraId="6191862E" w14:textId="77777777" w:rsidR="001972D8" w:rsidRPr="00D06382" w:rsidRDefault="001972D8" w:rsidP="00052B3F">
      <w:pPr>
        <w:rPr>
          <w:rFonts w:cs="Times New Roman"/>
        </w:rPr>
      </w:pPr>
      <w:r w:rsidRPr="00D06382">
        <w:rPr>
          <w:rFonts w:cs="Times New Roman"/>
        </w:rPr>
        <w:t xml:space="preserve">Maragakis, A., &amp; van den Dobbelsteen, A. (2018). Analysis of STARS as a sustainability assessment system universally usable in higher education. </w:t>
      </w:r>
      <w:r w:rsidRPr="00D06382">
        <w:rPr>
          <w:rFonts w:cs="Times New Roman"/>
          <w:i/>
          <w:iCs/>
        </w:rPr>
        <w:t>Architecture and the Built Environment</w:t>
      </w:r>
      <w:r w:rsidRPr="00D06382">
        <w:rPr>
          <w:rFonts w:cs="Times New Roman"/>
        </w:rPr>
        <w:t>, 17, 1-25.</w:t>
      </w:r>
    </w:p>
    <w:p w14:paraId="26D56BF4" w14:textId="77777777" w:rsidR="001972D8" w:rsidRPr="00D06382" w:rsidRDefault="001972D8" w:rsidP="00052B3F">
      <w:pPr>
        <w:rPr>
          <w:rFonts w:cs="Times New Roman"/>
        </w:rPr>
      </w:pPr>
      <w:r w:rsidRPr="00D06382">
        <w:rPr>
          <w:rFonts w:cs="Times New Roman"/>
        </w:rPr>
        <w:t xml:space="preserve">Marinho, M., Gonçalves, M. D. S., &amp; Kiperstok, A. (2014). Water conservation as a tool to support sustainable practices in a Brazilian public university. </w:t>
      </w:r>
      <w:r w:rsidRPr="00D06382">
        <w:rPr>
          <w:rFonts w:cs="Times New Roman"/>
          <w:i/>
          <w:iCs/>
        </w:rPr>
        <w:t>Journal of Cleaner Production</w:t>
      </w:r>
      <w:r w:rsidRPr="00D06382">
        <w:rPr>
          <w:rFonts w:cs="Times New Roman"/>
        </w:rPr>
        <w:t xml:space="preserve">, 62, 98-106. </w:t>
      </w:r>
    </w:p>
    <w:p w14:paraId="649B2FED" w14:textId="77777777" w:rsidR="001972D8" w:rsidRPr="00D06382" w:rsidRDefault="001972D8" w:rsidP="00052B3F">
      <w:pPr>
        <w:rPr>
          <w:rFonts w:cs="Times New Roman"/>
        </w:rPr>
      </w:pPr>
      <w:r w:rsidRPr="00D06382">
        <w:rPr>
          <w:rFonts w:cs="Times New Roman"/>
        </w:rPr>
        <w:t xml:space="preserve">Mattoni, B., Guattari, C., Evangelisti, L., Bisegna, F., Gori, P., &amp; Asdrubali, F. (2018). Critical review and methodological approach to evaluate the differences among international green building rating tools. </w:t>
      </w:r>
      <w:r w:rsidRPr="00D06382">
        <w:rPr>
          <w:rFonts w:cs="Times New Roman"/>
          <w:i/>
          <w:iCs/>
        </w:rPr>
        <w:t>Renewable and Sustainable Energy Reviews</w:t>
      </w:r>
      <w:r w:rsidRPr="00D06382">
        <w:rPr>
          <w:rFonts w:cs="Times New Roman"/>
        </w:rPr>
        <w:t xml:space="preserve">, 82, 950-960. </w:t>
      </w:r>
    </w:p>
    <w:p w14:paraId="308A9175" w14:textId="77777777" w:rsidR="001972D8" w:rsidRPr="00D06382" w:rsidRDefault="001972D8" w:rsidP="00052B3F">
      <w:pPr>
        <w:rPr>
          <w:rFonts w:cs="Times New Roman"/>
        </w:rPr>
      </w:pPr>
      <w:r w:rsidRPr="00D06382">
        <w:rPr>
          <w:rFonts w:cs="Times New Roman"/>
        </w:rPr>
        <w:t xml:space="preserve">McGill University. (2024). McGill University Energy Management Plan. </w:t>
      </w:r>
      <w:hyperlink r:id="rId35" w:history="1">
        <w:r w:rsidRPr="00D06382">
          <w:rPr>
            <w:rStyle w:val="Hyperlink"/>
            <w:rFonts w:cs="Times New Roman"/>
          </w:rPr>
          <w:t>https://www.mcgill.ca/facilities/about/utilities/energymanagement</w:t>
        </w:r>
      </w:hyperlink>
    </w:p>
    <w:p w14:paraId="4EFB00BB" w14:textId="77777777" w:rsidR="001972D8" w:rsidRPr="00D06382" w:rsidRDefault="001972D8" w:rsidP="00052B3F">
      <w:pPr>
        <w:rPr>
          <w:rFonts w:cs="Times New Roman"/>
        </w:rPr>
      </w:pPr>
      <w:r w:rsidRPr="00D06382">
        <w:rPr>
          <w:rFonts w:cs="Times New Roman"/>
        </w:rPr>
        <w:t xml:space="preserve">Oberascher, M., Zischg, J., Palermo, S. A., Kinzel, C., Rauch, W., &amp; Sitzenfrei, R. (2018). Smart rain barrels: Advanced LID management through measurement and control. In G. Mannina (Ed.), </w:t>
      </w:r>
      <w:r w:rsidRPr="00D06382">
        <w:rPr>
          <w:rFonts w:cs="Times New Roman"/>
          <w:i/>
          <w:iCs/>
        </w:rPr>
        <w:t>New Trends in Urban Drainage Modelling</w:t>
      </w:r>
      <w:r w:rsidRPr="00D06382">
        <w:rPr>
          <w:rFonts w:cs="Times New Roman"/>
        </w:rPr>
        <w:t xml:space="preserve"> (pp. 777-782). Springer. </w:t>
      </w:r>
    </w:p>
    <w:p w14:paraId="0E57EDDD" w14:textId="77777777" w:rsidR="001972D8" w:rsidRPr="00D06382" w:rsidRDefault="001972D8" w:rsidP="00052B3F">
      <w:pPr>
        <w:rPr>
          <w:rFonts w:cs="Times New Roman"/>
        </w:rPr>
      </w:pPr>
      <w:r w:rsidRPr="00D06382">
        <w:rPr>
          <w:rFonts w:cs="Times New Roman"/>
        </w:rPr>
        <w:t xml:space="preserve">Osorio, A. M., Úsuga, L. F., Vásquez, R. E., Nieto-Londoño, C., Rinaudo, M. E., Martínez, J. A., &amp; Leal Filho, W. (2022). Towards </w:t>
      </w:r>
      <w:r>
        <w:rPr>
          <w:rFonts w:cs="Times New Roman"/>
        </w:rPr>
        <w:t>net zero</w:t>
      </w:r>
      <w:r w:rsidRPr="00D06382">
        <w:rPr>
          <w:rFonts w:cs="Times New Roman"/>
        </w:rPr>
        <w:t xml:space="preserve"> in higher education institutions: Case of two private universities in Colombia. </w:t>
      </w:r>
      <w:r w:rsidRPr="00D06382">
        <w:rPr>
          <w:rFonts w:cs="Times New Roman"/>
          <w:i/>
          <w:iCs/>
        </w:rPr>
        <w:t>Sustainability</w:t>
      </w:r>
      <w:r w:rsidRPr="00D06382">
        <w:rPr>
          <w:rFonts w:cs="Times New Roman"/>
        </w:rPr>
        <w:t xml:space="preserve">, 14(5), 2651. </w:t>
      </w:r>
    </w:p>
    <w:p w14:paraId="5E4CE849" w14:textId="77777777" w:rsidR="001972D8" w:rsidRPr="00D06382" w:rsidRDefault="001972D8" w:rsidP="00052B3F">
      <w:pPr>
        <w:rPr>
          <w:rFonts w:cs="Times New Roman"/>
        </w:rPr>
      </w:pPr>
      <w:r w:rsidRPr="00D06382">
        <w:rPr>
          <w:rFonts w:cs="Times New Roman"/>
        </w:rPr>
        <w:t xml:space="preserve">Passive House Institute. (2024). Passive House Requirements. </w:t>
      </w:r>
      <w:hyperlink r:id="rId36" w:history="1">
        <w:r w:rsidRPr="00D06382">
          <w:rPr>
            <w:rStyle w:val="Hyperlink"/>
            <w:rFonts w:cs="Times New Roman"/>
          </w:rPr>
          <w:t>https://passivehouse.com/02_informations/02_passive-house-requirements/02_passive-house-requirements.htm</w:t>
        </w:r>
      </w:hyperlink>
    </w:p>
    <w:p w14:paraId="477830C8" w14:textId="77777777" w:rsidR="001972D8" w:rsidRPr="00D06382" w:rsidRDefault="001972D8" w:rsidP="00052B3F">
      <w:pPr>
        <w:rPr>
          <w:rFonts w:cs="Times New Roman"/>
        </w:rPr>
      </w:pPr>
      <w:r w:rsidRPr="00D06382">
        <w:rPr>
          <w:rFonts w:cs="Times New Roman"/>
        </w:rPr>
        <w:t xml:space="preserve">Shiel, C., Smith, N., &amp; Cantarello, E. (2020). Aligning campus strategy with the SDGs: An institutional case study. In W. Leal Filho, A. Salvia, R. Pretorius, L. Brandli, E. Manolas, F. Alves, U. Azeiteiro, J. Rogers, C. Shiel, &amp; A. Do Paco (Eds.), </w:t>
      </w:r>
      <w:r w:rsidRPr="00D06382">
        <w:rPr>
          <w:rFonts w:cs="Times New Roman"/>
          <w:i/>
          <w:iCs/>
        </w:rPr>
        <w:t>Universities as Living Labs for Sustainable Development</w:t>
      </w:r>
      <w:r w:rsidRPr="00D06382">
        <w:rPr>
          <w:rFonts w:cs="Times New Roman"/>
        </w:rPr>
        <w:t xml:space="preserve"> (pp. 11-27). Springer.</w:t>
      </w:r>
    </w:p>
    <w:p w14:paraId="68F43096" w14:textId="77777777" w:rsidR="001972D8" w:rsidRPr="00D06382" w:rsidRDefault="001972D8" w:rsidP="00052B3F">
      <w:pPr>
        <w:rPr>
          <w:rFonts w:cs="Times New Roman"/>
        </w:rPr>
      </w:pPr>
      <w:r w:rsidRPr="00D06382">
        <w:rPr>
          <w:rFonts w:cs="Times New Roman"/>
        </w:rPr>
        <w:lastRenderedPageBreak/>
        <w:t xml:space="preserve">Sieker, H., Helm, B., Krebs, P., Schlottmann, P., &amp; Tränckner, J. (2021). Flexibility requirements for urban drainage systems: New solutions for climate change adaptation? </w:t>
      </w:r>
      <w:r w:rsidRPr="00D06382">
        <w:rPr>
          <w:rFonts w:cs="Times New Roman"/>
          <w:i/>
          <w:iCs/>
        </w:rPr>
        <w:t>Journal of Environmental Management</w:t>
      </w:r>
      <w:r w:rsidRPr="00D06382">
        <w:rPr>
          <w:rFonts w:cs="Times New Roman"/>
        </w:rPr>
        <w:t xml:space="preserve">, 280, 111795. </w:t>
      </w:r>
    </w:p>
    <w:p w14:paraId="7AF8D2B7" w14:textId="77777777" w:rsidR="001972D8" w:rsidRPr="00D06382" w:rsidRDefault="001972D8" w:rsidP="00052B3F">
      <w:pPr>
        <w:rPr>
          <w:rFonts w:cs="Times New Roman"/>
        </w:rPr>
      </w:pPr>
      <w:r w:rsidRPr="00D06382">
        <w:rPr>
          <w:rFonts w:cs="Times New Roman"/>
        </w:rPr>
        <w:t xml:space="preserve">Smit, A., &amp; Toit, F. D. (2015). Investigating the financial benefits of green buildings. </w:t>
      </w:r>
      <w:r w:rsidRPr="00D06382">
        <w:rPr>
          <w:rFonts w:cs="Times New Roman"/>
          <w:i/>
          <w:iCs/>
        </w:rPr>
        <w:t>Environmental Economics</w:t>
      </w:r>
      <w:r w:rsidRPr="00D06382">
        <w:rPr>
          <w:rFonts w:cs="Times New Roman"/>
        </w:rPr>
        <w:t>, 6(3), 61-71.</w:t>
      </w:r>
    </w:p>
    <w:p w14:paraId="36B8A9B9" w14:textId="77777777" w:rsidR="001972D8" w:rsidRPr="00D06382" w:rsidRDefault="001972D8" w:rsidP="00052B3F">
      <w:pPr>
        <w:rPr>
          <w:rFonts w:cs="Times New Roman"/>
        </w:rPr>
      </w:pPr>
      <w:r w:rsidRPr="00D06382">
        <w:rPr>
          <w:rFonts w:cs="Times New Roman"/>
        </w:rPr>
        <w:t xml:space="preserve">Sroufe, R. (2020). Business schools as living labs: Advancing sustainability in management education. </w:t>
      </w:r>
      <w:r w:rsidRPr="00D06382">
        <w:rPr>
          <w:rFonts w:cs="Times New Roman"/>
          <w:i/>
          <w:iCs/>
        </w:rPr>
        <w:t>Journal of Management Education</w:t>
      </w:r>
      <w:r w:rsidRPr="00D06382">
        <w:rPr>
          <w:rFonts w:cs="Times New Roman"/>
        </w:rPr>
        <w:t xml:space="preserve">, 44(6), 726-765. </w:t>
      </w:r>
      <w:hyperlink r:id="rId37" w:history="1">
        <w:r w:rsidRPr="00D06382">
          <w:rPr>
            <w:rStyle w:val="Hyperlink"/>
            <w:rFonts w:cs="Times New Roman"/>
          </w:rPr>
          <w:t>https://doi.org/10.1177/1052562920953456</w:t>
        </w:r>
      </w:hyperlink>
    </w:p>
    <w:p w14:paraId="6553DF9E" w14:textId="77777777" w:rsidR="001972D8" w:rsidRPr="00D06382" w:rsidRDefault="001972D8" w:rsidP="00052B3F">
      <w:pPr>
        <w:rPr>
          <w:rFonts w:cs="Times New Roman"/>
        </w:rPr>
      </w:pPr>
      <w:r w:rsidRPr="00D06382">
        <w:rPr>
          <w:rFonts w:cs="Times New Roman"/>
        </w:rPr>
        <w:t xml:space="preserve">STARS. (2024). STARS Participants &amp; Reports. </w:t>
      </w:r>
      <w:hyperlink r:id="rId38" w:history="1">
        <w:r w:rsidRPr="00D06382">
          <w:rPr>
            <w:rStyle w:val="Hyperlink"/>
            <w:rFonts w:cs="Times New Roman"/>
          </w:rPr>
          <w:t>https://reports.aashe.org/institutions/participants-and-reports/</w:t>
        </w:r>
      </w:hyperlink>
    </w:p>
    <w:p w14:paraId="5DB6A031" w14:textId="77777777" w:rsidR="001972D8" w:rsidRPr="00D06382" w:rsidRDefault="001972D8" w:rsidP="00052B3F">
      <w:pPr>
        <w:rPr>
          <w:rFonts w:cs="Times New Roman"/>
        </w:rPr>
      </w:pPr>
      <w:r w:rsidRPr="00D06382">
        <w:rPr>
          <w:rFonts w:cs="Times New Roman"/>
        </w:rPr>
        <w:t xml:space="preserve">Sustainable Development Solutions Network. (2020). Accelerating education for the SDGs in universities: A guide for universities, colleges, and tertiary and higher education institutions. </w:t>
      </w:r>
      <w:hyperlink r:id="rId39" w:history="1">
        <w:r w:rsidRPr="00D06382">
          <w:rPr>
            <w:rStyle w:val="Hyperlink"/>
            <w:rFonts w:cs="Times New Roman"/>
          </w:rPr>
          <w:t>https://www.unsdsn.org/resources/accelerating-education-for-the-sdgs-in-universities-a-guide-for-universities-colleges-and-tertiary-and-higher-education-institutions/</w:t>
        </w:r>
      </w:hyperlink>
    </w:p>
    <w:p w14:paraId="422C51F1" w14:textId="77777777" w:rsidR="001972D8" w:rsidRPr="00D06382" w:rsidRDefault="001972D8" w:rsidP="00052B3F">
      <w:pPr>
        <w:rPr>
          <w:rFonts w:cs="Times New Roman"/>
        </w:rPr>
      </w:pPr>
      <w:r w:rsidRPr="00D06382">
        <w:rPr>
          <w:rFonts w:cs="Times New Roman"/>
        </w:rPr>
        <w:t xml:space="preserve">Tan, H., Chen, S., Shi, Q., &amp; Wang, L. (2014). Development of green campus in China. </w:t>
      </w:r>
      <w:r w:rsidRPr="00D06382">
        <w:rPr>
          <w:rFonts w:cs="Times New Roman"/>
          <w:i/>
          <w:iCs/>
        </w:rPr>
        <w:t>Journal of Cleaner Production</w:t>
      </w:r>
      <w:r w:rsidRPr="00D06382">
        <w:rPr>
          <w:rFonts w:cs="Times New Roman"/>
        </w:rPr>
        <w:t xml:space="preserve">, 64, 646-653. </w:t>
      </w:r>
    </w:p>
    <w:p w14:paraId="395051BC" w14:textId="77777777" w:rsidR="001972D8" w:rsidRPr="00D06382" w:rsidRDefault="001972D8" w:rsidP="00052B3F">
      <w:pPr>
        <w:rPr>
          <w:rFonts w:cs="Times New Roman"/>
        </w:rPr>
      </w:pPr>
      <w:r w:rsidRPr="00D06382">
        <w:rPr>
          <w:rFonts w:cs="Times New Roman"/>
        </w:rPr>
        <w:t xml:space="preserve">Times Higher Education. (2023a). Impact Rankings 2023: Methodology. </w:t>
      </w:r>
      <w:hyperlink r:id="rId40" w:history="1">
        <w:r w:rsidRPr="00D06382">
          <w:rPr>
            <w:rStyle w:val="Hyperlink"/>
            <w:rFonts w:cs="Times New Roman"/>
          </w:rPr>
          <w:t>https://www.timeshighereducation.com/world-university-rankings/impact-rankings-2023-methodology</w:t>
        </w:r>
      </w:hyperlink>
    </w:p>
    <w:p w14:paraId="595C6233" w14:textId="77777777" w:rsidR="001972D8" w:rsidRPr="00D06382" w:rsidRDefault="001972D8" w:rsidP="00052B3F">
      <w:pPr>
        <w:rPr>
          <w:rFonts w:cs="Times New Roman"/>
        </w:rPr>
      </w:pPr>
      <w:r w:rsidRPr="00D06382">
        <w:rPr>
          <w:rFonts w:cs="Times New Roman"/>
        </w:rPr>
        <w:t xml:space="preserve">Times Higher Education. (2023b). Impact Rankings 2023. </w:t>
      </w:r>
      <w:hyperlink r:id="rId41" w:history="1">
        <w:r w:rsidRPr="00D06382">
          <w:rPr>
            <w:rStyle w:val="Hyperlink"/>
            <w:rFonts w:cs="Times New Roman"/>
          </w:rPr>
          <w:t>https://www.timeshighereducation.com/rankings/impact/2023/overall</w:t>
        </w:r>
      </w:hyperlink>
    </w:p>
    <w:p w14:paraId="4830349D" w14:textId="77777777" w:rsidR="001972D8" w:rsidRPr="00D06382" w:rsidRDefault="001972D8" w:rsidP="00052B3F">
      <w:pPr>
        <w:rPr>
          <w:rFonts w:cs="Times New Roman"/>
        </w:rPr>
      </w:pPr>
      <w:r w:rsidRPr="00D06382">
        <w:rPr>
          <w:rFonts w:cs="Times New Roman"/>
        </w:rPr>
        <w:t xml:space="preserve">Too, L., &amp; Bajracharya, B. (2015). Sustainable campus: Engaging the community in sustainability. International </w:t>
      </w:r>
      <w:r w:rsidRPr="00D06382">
        <w:rPr>
          <w:rFonts w:cs="Times New Roman"/>
          <w:i/>
          <w:iCs/>
        </w:rPr>
        <w:t>Journal of Sustainability in Higher Education</w:t>
      </w:r>
      <w:r w:rsidRPr="00D06382">
        <w:rPr>
          <w:rFonts w:cs="Times New Roman"/>
        </w:rPr>
        <w:t xml:space="preserve">, 16(1), 57-71. </w:t>
      </w:r>
    </w:p>
    <w:p w14:paraId="7C5F4F10" w14:textId="77777777" w:rsidR="001972D8" w:rsidRDefault="001972D8" w:rsidP="00052B3F">
      <w:r w:rsidRPr="00D06382">
        <w:rPr>
          <w:rFonts w:cs="Times New Roman"/>
        </w:rPr>
        <w:t xml:space="preserve">U.S. Environmental Protection Agency. (2012). Drinking water: E. coli. </w:t>
      </w:r>
      <w:hyperlink r:id="rId42" w:history="1">
        <w:r w:rsidRPr="00D06382">
          <w:rPr>
            <w:rStyle w:val="Hyperlink"/>
            <w:rFonts w:cs="Times New Roman"/>
          </w:rPr>
          <w:t>https://www.epa.gov/system/files/documents/2021-07/parameter-factsheet_e.-coli.pdf</w:t>
        </w:r>
      </w:hyperlink>
    </w:p>
    <w:p w14:paraId="6F690575" w14:textId="77777777" w:rsidR="001972D8" w:rsidRPr="00D06382" w:rsidRDefault="001972D8" w:rsidP="00052B3F">
      <w:pPr>
        <w:rPr>
          <w:rFonts w:cs="Times New Roman"/>
        </w:rPr>
      </w:pPr>
      <w:r w:rsidRPr="00D06382">
        <w:rPr>
          <w:rFonts w:cs="Times New Roman"/>
        </w:rPr>
        <w:t xml:space="preserve">U.S. Green Building Council. (2024). LEED v4.1. </w:t>
      </w:r>
      <w:hyperlink r:id="rId43" w:history="1">
        <w:r w:rsidRPr="00D06382">
          <w:rPr>
            <w:rStyle w:val="Hyperlink"/>
            <w:rFonts w:cs="Times New Roman"/>
          </w:rPr>
          <w:t>https://www.usgbc.org/leed/v41</w:t>
        </w:r>
      </w:hyperlink>
    </w:p>
    <w:p w14:paraId="2B0341E1" w14:textId="77777777" w:rsidR="001972D8" w:rsidRPr="00D06382" w:rsidRDefault="001972D8" w:rsidP="00052B3F">
      <w:pPr>
        <w:rPr>
          <w:rFonts w:cs="Times New Roman"/>
        </w:rPr>
      </w:pPr>
      <w:r w:rsidRPr="00D06382">
        <w:rPr>
          <w:rFonts w:cs="Times New Roman"/>
        </w:rPr>
        <w:t xml:space="preserve">University of British Columbia. (2014). 20-Year Sustainability Strategy for the University of British Columbia Vancouver Campus. </w:t>
      </w:r>
      <w:hyperlink r:id="rId44" w:history="1">
        <w:r w:rsidRPr="00D06382">
          <w:rPr>
            <w:rStyle w:val="Hyperlink"/>
            <w:rFonts w:cs="Times New Roman"/>
          </w:rPr>
          <w:t>https://sustain.ubc.ca/sites/default/files/uploads/CampusSustainability/CS_PDFs/PlansReports/Plans/20-Year-Sustainability-Strategy-UBC.pdf</w:t>
        </w:r>
      </w:hyperlink>
    </w:p>
    <w:p w14:paraId="37032FA1" w14:textId="77777777" w:rsidR="001972D8" w:rsidRPr="00D06382" w:rsidRDefault="001972D8" w:rsidP="00052B3F">
      <w:pPr>
        <w:rPr>
          <w:rFonts w:cs="Times New Roman"/>
        </w:rPr>
      </w:pPr>
      <w:r w:rsidRPr="00D06382">
        <w:rPr>
          <w:rFonts w:cs="Times New Roman"/>
        </w:rPr>
        <w:t xml:space="preserve">University of British Columbia. (2015). Centre for Interactive Research on Sustainability (CIRS). </w:t>
      </w:r>
      <w:hyperlink r:id="rId45" w:history="1">
        <w:r w:rsidRPr="00D06382">
          <w:rPr>
            <w:rStyle w:val="Hyperlink"/>
            <w:rFonts w:cs="Times New Roman"/>
          </w:rPr>
          <w:t>https://livinglabs.ubc.ca/sites/default/files/2022-</w:t>
        </w:r>
        <w:r w:rsidRPr="00D06382">
          <w:rPr>
            <w:rStyle w:val="Hyperlink"/>
            <w:rFonts w:cs="Times New Roman"/>
          </w:rPr>
          <w:lastRenderedPageBreak/>
          <w:t>08/Test%20Lab%20for%20Sustainability%20-%20High%20Performance%20Buildings%20Magazine.pdf</w:t>
        </w:r>
      </w:hyperlink>
    </w:p>
    <w:p w14:paraId="1046F3A1" w14:textId="77777777" w:rsidR="001972D8" w:rsidRPr="00D06382" w:rsidRDefault="001972D8" w:rsidP="00052B3F">
      <w:pPr>
        <w:rPr>
          <w:rFonts w:cs="Times New Roman"/>
        </w:rPr>
      </w:pPr>
      <w:r w:rsidRPr="00D06382">
        <w:rPr>
          <w:rFonts w:cs="Times New Roman"/>
        </w:rPr>
        <w:t xml:space="preserve">University of British Columbia. (2024). Sustainability Revolving Fund. </w:t>
      </w:r>
      <w:hyperlink r:id="rId46" w:history="1">
        <w:r w:rsidRPr="00D06382">
          <w:rPr>
            <w:rStyle w:val="Hyperlink"/>
            <w:rFonts w:cs="Times New Roman"/>
          </w:rPr>
          <w:t>https://sustain.ubc.ca/get-involved/sustainability-funding-opportunities/sustainability-revolving-fund</w:t>
        </w:r>
      </w:hyperlink>
    </w:p>
    <w:p w14:paraId="0CFD2D8D" w14:textId="77777777" w:rsidR="001972D8" w:rsidRPr="00D06382" w:rsidRDefault="001972D8" w:rsidP="00052B3F">
      <w:pPr>
        <w:rPr>
          <w:rFonts w:cs="Times New Roman"/>
        </w:rPr>
      </w:pPr>
      <w:r w:rsidRPr="00D06382">
        <w:rPr>
          <w:rFonts w:cs="Times New Roman"/>
        </w:rPr>
        <w:t xml:space="preserve">University of California, Berkeley. (2023). UC Berkeley Sustainability Plan. </w:t>
      </w:r>
      <w:hyperlink r:id="rId47" w:history="1">
        <w:r w:rsidRPr="00D06382">
          <w:rPr>
            <w:rStyle w:val="Hyperlink"/>
            <w:rFonts w:cs="Times New Roman"/>
          </w:rPr>
          <w:t>https://sustainability.berkeley.edu/sites/default/files/uc_berkeley_sustainability_plan_2020_1.pdf</w:t>
        </w:r>
      </w:hyperlink>
    </w:p>
    <w:p w14:paraId="67C92754" w14:textId="77777777" w:rsidR="001972D8" w:rsidRPr="00D06382" w:rsidRDefault="001972D8" w:rsidP="00052B3F">
      <w:pPr>
        <w:rPr>
          <w:rFonts w:cs="Times New Roman"/>
        </w:rPr>
      </w:pPr>
      <w:r w:rsidRPr="00D06382">
        <w:rPr>
          <w:rFonts w:cs="Times New Roman"/>
        </w:rPr>
        <w:t xml:space="preserve">University of California, Berkeley. (2024). Creeks of UC Berkeley. </w:t>
      </w:r>
      <w:hyperlink r:id="rId48" w:history="1">
        <w:r w:rsidRPr="00D06382">
          <w:rPr>
            <w:rStyle w:val="Hyperlink"/>
            <w:rFonts w:cs="Times New Roman"/>
          </w:rPr>
          <w:t>https://creeks.berkeley.edu/strawberry-creek-management-plan-1987/522-stormwater-management</w:t>
        </w:r>
      </w:hyperlink>
    </w:p>
    <w:p w14:paraId="2AF6A8B2" w14:textId="77777777" w:rsidR="001972D8" w:rsidRPr="00D06382" w:rsidRDefault="001972D8" w:rsidP="00052B3F">
      <w:pPr>
        <w:rPr>
          <w:rFonts w:cs="Times New Roman"/>
        </w:rPr>
      </w:pPr>
      <w:r w:rsidRPr="00D06382">
        <w:rPr>
          <w:rFonts w:cs="Times New Roman"/>
        </w:rPr>
        <w:t xml:space="preserve">University of Guelph. (2020). Water Conservation. </w:t>
      </w:r>
      <w:hyperlink r:id="rId49" w:history="1">
        <w:r w:rsidRPr="00D06382">
          <w:rPr>
            <w:rStyle w:val="Hyperlink"/>
            <w:rFonts w:cs="Times New Roman"/>
          </w:rPr>
          <w:t>https://www.uoguelph.ca/news/2011/02/u_of_gs_energy.html</w:t>
        </w:r>
      </w:hyperlink>
    </w:p>
    <w:p w14:paraId="53B26CB6" w14:textId="77777777" w:rsidR="001972D8" w:rsidRPr="00D06382" w:rsidRDefault="001972D8" w:rsidP="00052B3F">
      <w:pPr>
        <w:rPr>
          <w:rFonts w:cs="Times New Roman"/>
        </w:rPr>
      </w:pPr>
      <w:r w:rsidRPr="00D06382">
        <w:rPr>
          <w:rFonts w:cs="Times New Roman"/>
        </w:rPr>
        <w:t xml:space="preserve">University of Toronto. (2019). Green Revolving Fund. </w:t>
      </w:r>
      <w:hyperlink r:id="rId50" w:history="1">
        <w:r w:rsidRPr="00D06382">
          <w:rPr>
            <w:rStyle w:val="Hyperlink"/>
            <w:rFonts w:cs="Times New Roman"/>
          </w:rPr>
          <w:t>https://www.utm.utoronto.ca/green/transforming-our-campus/green-revolving-fund</w:t>
        </w:r>
      </w:hyperlink>
    </w:p>
    <w:p w14:paraId="7F0156DC" w14:textId="77777777" w:rsidR="001972D8" w:rsidRPr="00D06382" w:rsidRDefault="001972D8" w:rsidP="00052B3F">
      <w:pPr>
        <w:rPr>
          <w:rFonts w:cs="Times New Roman"/>
        </w:rPr>
      </w:pPr>
      <w:r w:rsidRPr="00D06382">
        <w:rPr>
          <w:rFonts w:cs="Times New Roman"/>
        </w:rPr>
        <w:t xml:space="preserve">University of Toronto. (2023). Sustainability Office 2023 Annual Report. </w:t>
      </w:r>
      <w:hyperlink r:id="rId51" w:history="1">
        <w:r w:rsidRPr="00D06382">
          <w:rPr>
            <w:rStyle w:val="Hyperlink"/>
            <w:rFonts w:cs="Times New Roman"/>
          </w:rPr>
          <w:t>https://www.fs.utoronto.ca/wp-content/uploads/2024/04/SO-Annual-Report_2023_final.pdf</w:t>
        </w:r>
      </w:hyperlink>
    </w:p>
    <w:p w14:paraId="716E2078" w14:textId="77777777" w:rsidR="001972D8" w:rsidRPr="00D06382" w:rsidRDefault="001972D8" w:rsidP="00052B3F">
      <w:pPr>
        <w:rPr>
          <w:rFonts w:cs="Times New Roman"/>
        </w:rPr>
      </w:pPr>
      <w:r w:rsidRPr="00D06382">
        <w:rPr>
          <w:rFonts w:cs="Times New Roman"/>
        </w:rPr>
        <w:t xml:space="preserve">University of Toronto. (2024). A Climate Positive Campus. </w:t>
      </w:r>
      <w:hyperlink r:id="rId52" w:history="1">
        <w:r w:rsidRPr="00D06382">
          <w:rPr>
            <w:rStyle w:val="Hyperlink"/>
            <w:rFonts w:cs="Times New Roman"/>
          </w:rPr>
          <w:t>https://climatepositive.utoronto.ca/</w:t>
        </w:r>
      </w:hyperlink>
    </w:p>
    <w:p w14:paraId="28E080AC" w14:textId="77777777" w:rsidR="001972D8" w:rsidRPr="00D06382" w:rsidRDefault="001972D8" w:rsidP="00052B3F">
      <w:pPr>
        <w:rPr>
          <w:rFonts w:cs="Times New Roman"/>
        </w:rPr>
      </w:pPr>
      <w:r w:rsidRPr="00D06382">
        <w:rPr>
          <w:rFonts w:cs="Times New Roman"/>
        </w:rPr>
        <w:t xml:space="preserve">University of Waterloo. (2022). Sustainability Report 2021-2022. </w:t>
      </w:r>
      <w:hyperlink r:id="rId53" w:history="1">
        <w:r w:rsidRPr="00D06382">
          <w:rPr>
            <w:rStyle w:val="Hyperlink"/>
            <w:rFonts w:cs="Times New Roman"/>
          </w:rPr>
          <w:t>https://uwaterloo.ca/sustainability/sites/default/files/uploads/documents/sustainability_report_2022_final.pdf</w:t>
        </w:r>
      </w:hyperlink>
    </w:p>
    <w:p w14:paraId="47B521AC" w14:textId="77777777" w:rsidR="001972D8" w:rsidRPr="00D06382" w:rsidRDefault="001972D8" w:rsidP="00052B3F">
      <w:pPr>
        <w:rPr>
          <w:rFonts w:cs="Times New Roman"/>
        </w:rPr>
      </w:pPr>
      <w:r w:rsidRPr="00D06382">
        <w:rPr>
          <w:rFonts w:cs="Times New Roman"/>
        </w:rPr>
        <w:t xml:space="preserve">Urbanski, M., &amp; Leal Filho, W. (2015). Measuring sustainability at universities by means of the Sustainability Tracking, Assessment and Rating System (STARS): Early findings from STARS data. </w:t>
      </w:r>
      <w:r w:rsidRPr="00D06382">
        <w:rPr>
          <w:rFonts w:cs="Times New Roman"/>
          <w:i/>
          <w:iCs/>
        </w:rPr>
        <w:t>Environment, Development and Sustainability</w:t>
      </w:r>
      <w:r w:rsidRPr="00D06382">
        <w:rPr>
          <w:rFonts w:cs="Times New Roman"/>
        </w:rPr>
        <w:t xml:space="preserve">, 17(2), 209-220. </w:t>
      </w:r>
    </w:p>
    <w:p w14:paraId="0AD99F80" w14:textId="77777777" w:rsidR="001972D8" w:rsidRPr="00D06382" w:rsidRDefault="001972D8" w:rsidP="00052B3F">
      <w:pPr>
        <w:rPr>
          <w:rFonts w:cs="Times New Roman"/>
        </w:rPr>
      </w:pPr>
      <w:r w:rsidRPr="00D06382">
        <w:rPr>
          <w:rFonts w:cs="Times New Roman"/>
        </w:rPr>
        <w:t>Vaughter, P., McKenzie, M., Lidstone, L., &amp; Wright, T. (2016). Campus sustainability governance in Canada: A content analysis of post-secondary institutions</w:t>
      </w:r>
      <w:r>
        <w:rPr>
          <w:rFonts w:cs="Times New Roman"/>
        </w:rPr>
        <w:t>’</w:t>
      </w:r>
      <w:r w:rsidRPr="00D06382">
        <w:rPr>
          <w:rFonts w:cs="Times New Roman"/>
        </w:rPr>
        <w:t xml:space="preserve"> sustainability policies. </w:t>
      </w:r>
      <w:r w:rsidRPr="00D06382">
        <w:rPr>
          <w:rFonts w:cs="Times New Roman"/>
          <w:i/>
          <w:iCs/>
        </w:rPr>
        <w:t>International Journal of Sustainability in Higher Education</w:t>
      </w:r>
      <w:r w:rsidRPr="00D06382">
        <w:rPr>
          <w:rFonts w:cs="Times New Roman"/>
        </w:rPr>
        <w:t xml:space="preserve">, 17(1), 16-39. </w:t>
      </w:r>
    </w:p>
    <w:p w14:paraId="59C8A713" w14:textId="77777777" w:rsidR="001972D8" w:rsidRPr="00D06382" w:rsidRDefault="001972D8" w:rsidP="00052B3F">
      <w:pPr>
        <w:rPr>
          <w:rFonts w:cs="Times New Roman"/>
        </w:rPr>
      </w:pPr>
      <w:r w:rsidRPr="00D06382">
        <w:rPr>
          <w:rFonts w:cs="Times New Roman"/>
        </w:rPr>
        <w:t xml:space="preserve">Western University. (2017). Stormwater Management. </w:t>
      </w:r>
      <w:hyperlink r:id="rId54" w:history="1">
        <w:r w:rsidRPr="00D06382">
          <w:rPr>
            <w:rStyle w:val="Hyperlink"/>
            <w:rFonts w:cs="Times New Roman"/>
          </w:rPr>
          <w:t>https://sustainability.uwo.ca/Campus/water/wconservation.html</w:t>
        </w:r>
      </w:hyperlink>
    </w:p>
    <w:p w14:paraId="01BE58E0" w14:textId="77777777" w:rsidR="001972D8" w:rsidRPr="00D06382" w:rsidRDefault="001972D8" w:rsidP="00052B3F">
      <w:pPr>
        <w:rPr>
          <w:rFonts w:cs="Times New Roman"/>
        </w:rPr>
      </w:pPr>
      <w:r w:rsidRPr="00D06382">
        <w:rPr>
          <w:rFonts w:cs="Times New Roman"/>
        </w:rPr>
        <w:t xml:space="preserve">World Health Organization. (2009). WHO guidelines for indoor air quality: Dampness and mould. WHO Regional Office for Europe. </w:t>
      </w:r>
      <w:hyperlink r:id="rId55" w:history="1">
        <w:r w:rsidRPr="00D06382">
          <w:rPr>
            <w:rStyle w:val="Hyperlink"/>
            <w:rFonts w:cs="Times New Roman"/>
          </w:rPr>
          <w:t>https://www.ncbi.nlm.nih.gov/pmc/articles/PMC2796751/</w:t>
        </w:r>
      </w:hyperlink>
    </w:p>
    <w:p w14:paraId="7E643C19" w14:textId="77777777" w:rsidR="001972D8" w:rsidRPr="00D06382" w:rsidRDefault="001972D8" w:rsidP="00052B3F">
      <w:pPr>
        <w:rPr>
          <w:rFonts w:cs="Times New Roman"/>
        </w:rPr>
      </w:pPr>
      <w:r w:rsidRPr="00D06382">
        <w:rPr>
          <w:rFonts w:cs="Times New Roman"/>
        </w:rPr>
        <w:lastRenderedPageBreak/>
        <w:t xml:space="preserve">York University. (2024). Sustainability Action Commitment. </w:t>
      </w:r>
      <w:hyperlink r:id="rId56" w:history="1">
        <w:r w:rsidRPr="00D06382">
          <w:rPr>
            <w:rStyle w:val="Hyperlink"/>
            <w:rFonts w:cs="Times New Roman"/>
          </w:rPr>
          <w:t>https://www.yorku.ca/sustainability/priorities/action-commitment/</w:t>
        </w:r>
      </w:hyperlink>
    </w:p>
    <w:p w14:paraId="66628A29" w14:textId="77777777" w:rsidR="001972D8" w:rsidRDefault="001972D8" w:rsidP="0065060F">
      <w:pPr>
        <w:rPr>
          <w:rFonts w:cs="Times New Roman"/>
        </w:rPr>
      </w:pPr>
      <w:r w:rsidRPr="00483DB2">
        <w:rPr>
          <w:rFonts w:cs="Times New Roman"/>
        </w:rPr>
        <w:t>York University. (2024). Well-being Strategy – 2024-2030. York University.</w:t>
      </w:r>
    </w:p>
    <w:p w14:paraId="6D5B3A0F" w14:textId="77777777" w:rsidR="001972D8" w:rsidRPr="00D06382" w:rsidRDefault="001972D8" w:rsidP="00052B3F">
      <w:pPr>
        <w:rPr>
          <w:rFonts w:cs="Times New Roman"/>
        </w:rPr>
      </w:pPr>
      <w:r w:rsidRPr="00D06382">
        <w:rPr>
          <w:rFonts w:cs="Times New Roman"/>
        </w:rPr>
        <w:t>Zheng, D. Y. (2013). Does LEED save energy? A case study of LEED at UC Berkeley [Master</w:t>
      </w:r>
      <w:r>
        <w:rPr>
          <w:rFonts w:cs="Times New Roman"/>
        </w:rPr>
        <w:t>’</w:t>
      </w:r>
      <w:r w:rsidRPr="00D06382">
        <w:rPr>
          <w:rFonts w:cs="Times New Roman"/>
        </w:rPr>
        <w:t>s thesis, University of California, Berkeley]. eScholarship.</w:t>
      </w:r>
    </w:p>
    <w:p w14:paraId="5FCF3241" w14:textId="3F599B2B" w:rsidR="001972D8" w:rsidRDefault="001972D8" w:rsidP="0065060F">
      <w:pPr>
        <w:rPr>
          <w:rFonts w:cs="Times New Roman"/>
        </w:rPr>
      </w:pPr>
      <w:r w:rsidRPr="00D06382">
        <w:rPr>
          <w:rFonts w:cs="Times New Roman"/>
        </w:rPr>
        <w:t xml:space="preserve">Zhu, Z., Chen, Z., Chen, X., &amp; Yu, G. (2019). An assessment of the hydrologic effectiveness of low impact development (LID) practices for managing runoff with different objectives. </w:t>
      </w:r>
      <w:r w:rsidRPr="00D06382">
        <w:rPr>
          <w:rFonts w:cs="Times New Roman"/>
          <w:i/>
          <w:iCs/>
        </w:rPr>
        <w:t>Journal of Environmental Management</w:t>
      </w:r>
      <w:r w:rsidRPr="00D06382">
        <w:rPr>
          <w:rFonts w:cs="Times New Roman"/>
        </w:rPr>
        <w:t xml:space="preserve">, 231, 504-514. </w:t>
      </w:r>
    </w:p>
    <w:sectPr w:rsidR="001972D8" w:rsidSect="00CE75F6">
      <w:pgSz w:w="12240" w:h="15840" w:code="1"/>
      <w:pgMar w:top="1440" w:right="1440" w:bottom="1440" w:left="1440"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61EFF1B" w14:textId="77777777" w:rsidR="00586767" w:rsidRDefault="00586767" w:rsidP="00D55C28">
      <w:pPr>
        <w:spacing w:after="0" w:line="240" w:lineRule="auto"/>
      </w:pPr>
      <w:r>
        <w:separator/>
      </w:r>
    </w:p>
  </w:endnote>
  <w:endnote w:type="continuationSeparator" w:id="0">
    <w:p w14:paraId="2527CB3C" w14:textId="77777777" w:rsidR="00586767" w:rsidRDefault="00586767" w:rsidP="00D55C2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IBM Plex Sans">
    <w:altName w:val="Cambria"/>
    <w:panose1 w:val="020B0503050203000203"/>
    <w:charset w:val="00"/>
    <w:family w:val="swiss"/>
    <w:pitch w:val="variable"/>
    <w:sig w:usb0="A00002EF" w:usb1="5000207B" w:usb2="00000000" w:usb3="00000000" w:csb0="0000019F" w:csb1="00000000"/>
  </w:font>
  <w:font w:name="Arial">
    <w:panose1 w:val="020B0604020202020204"/>
    <w:charset w:val="00"/>
    <w:family w:val="swiss"/>
    <w:pitch w:val="variable"/>
    <w:sig w:usb0="E0002EFF" w:usb1="C000785B" w:usb2="00000009" w:usb3="00000000" w:csb0="000001FF" w:csb1="00000000"/>
  </w:font>
  <w:font w:name="IBM Plex Sans SemiBold">
    <w:panose1 w:val="020B0703050203000203"/>
    <w:charset w:val="00"/>
    <w:family w:val="swiss"/>
    <w:pitch w:val="variable"/>
    <w:sig w:usb0="A00002EF" w:usb1="5000207B" w:usb2="00000000" w:usb3="00000000" w:csb0="0000019F" w:csb1="00000000"/>
  </w:font>
  <w:font w:name="IBM Plex Sans Medium">
    <w:panose1 w:val="020B0603050203000203"/>
    <w:charset w:val="00"/>
    <w:family w:val="swiss"/>
    <w:pitch w:val="variable"/>
    <w:sig w:usb0="A00002EF" w:usb1="5000207B" w:usb2="00000000" w:usb3="00000000" w:csb0="0000019F" w:csb1="00000000"/>
  </w:font>
  <w:font w:name="Times New Roman (Headings CS)">
    <w:altName w:val="Times New Roman"/>
    <w:panose1 w:val="020B0604020202020204"/>
    <w:charset w:val="00"/>
    <w:family w:val="roman"/>
    <w:notTrueType/>
    <w:pitch w:val="default"/>
  </w:font>
  <w:font w:name="IBM Plex Serif Light">
    <w:panose1 w:val="02060403050406000203"/>
    <w:charset w:val="00"/>
    <w:family w:val="roman"/>
    <w:pitch w:val="variable"/>
    <w:sig w:usb0="A000026F" w:usb1="5000203B" w:usb2="00000000" w:usb3="00000000" w:csb0="00000197" w:csb1="00000000"/>
  </w:font>
  <w:font w:name="Times New Roman (Body CS)">
    <w:altName w:val="Times New Roman"/>
    <w:panose1 w:val="020B0604020202020204"/>
    <w:charset w:val="00"/>
    <w:family w:val="roman"/>
    <w:pitch w:val="default"/>
  </w:font>
  <w:font w:name="IBM Plex Serif">
    <w:panose1 w:val="02060503050406000203"/>
    <w:charset w:val="00"/>
    <w:family w:val="roman"/>
    <w:pitch w:val="variable"/>
    <w:sig w:usb0="A000026F" w:usb1="5000203B" w:usb2="00000000" w:usb3="00000000" w:csb0="00000197" w:csb1="00000000"/>
  </w:font>
  <w:font w:name="IBM Plex Sans Light">
    <w:panose1 w:val="020B0403050203000203"/>
    <w:charset w:val="00"/>
    <w:family w:val="swiss"/>
    <w:pitch w:val="variable"/>
    <w:sig w:usb0="A00002EF" w:usb1="5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6A9CD" w14:textId="77777777" w:rsidR="00AF7BFD" w:rsidRPr="00D55C28" w:rsidRDefault="00A015B5">
    <w:pPr>
      <w:pStyle w:val="Footer"/>
      <w:rPr>
        <w:sz w:val="20"/>
        <w:szCs w:val="20"/>
      </w:rPr>
    </w:pPr>
    <w:r>
      <w:rPr>
        <w:noProof/>
      </w:rPr>
      <w:drawing>
        <wp:anchor distT="0" distB="0" distL="114300" distR="114300" simplePos="0" relativeHeight="251658241" behindDoc="0" locked="0" layoutInCell="1" allowOverlap="0" wp14:anchorId="40A2FDE0" wp14:editId="47F25916">
          <wp:simplePos x="0" y="0"/>
          <wp:positionH relativeFrom="rightMargin">
            <wp:align>left</wp:align>
          </wp:positionH>
          <wp:positionV relativeFrom="page">
            <wp:posOffset>9679305</wp:posOffset>
          </wp:positionV>
          <wp:extent cx="701675" cy="154305"/>
          <wp:effectExtent l="0" t="0" r="3175" b="0"/>
          <wp:wrapSquare wrapText="bothSides"/>
          <wp:docPr id="22" name="Picture 2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01675" cy="154305"/>
                  </a:xfrm>
                  <a:prstGeom prst="rect">
                    <a:avLst/>
                  </a:prstGeom>
                </pic:spPr>
              </pic:pic>
            </a:graphicData>
          </a:graphic>
          <wp14:sizeRelH relativeFrom="page">
            <wp14:pctWidth>0</wp14:pctWidth>
          </wp14:sizeRelH>
          <wp14:sizeRelV relativeFrom="page">
            <wp14:pctHeight>0</wp14:pctHeight>
          </wp14:sizeRelV>
        </wp:anchor>
      </w:drawing>
    </w:r>
    <w:r w:rsidR="0054366C" w:rsidRPr="00D55C28">
      <w:rPr>
        <w:sz w:val="20"/>
        <w:szCs w:val="20"/>
      </w:rPr>
      <w:t xml:space="preserve">Page </w:t>
    </w:r>
    <w:r w:rsidR="0054366C" w:rsidRPr="00D55C28">
      <w:rPr>
        <w:sz w:val="20"/>
        <w:szCs w:val="20"/>
      </w:rPr>
      <w:fldChar w:fldCharType="begin"/>
    </w:r>
    <w:r w:rsidR="0054366C" w:rsidRPr="00D55C28">
      <w:rPr>
        <w:sz w:val="20"/>
        <w:szCs w:val="20"/>
      </w:rPr>
      <w:instrText xml:space="preserve"> PAGE  \* Arabic  \* MERGEFORMAT </w:instrText>
    </w:r>
    <w:r w:rsidR="0054366C" w:rsidRPr="00D55C28">
      <w:rPr>
        <w:sz w:val="20"/>
        <w:szCs w:val="20"/>
      </w:rPr>
      <w:fldChar w:fldCharType="separate"/>
    </w:r>
    <w:r w:rsidR="0054366C">
      <w:rPr>
        <w:sz w:val="20"/>
        <w:szCs w:val="20"/>
      </w:rPr>
      <w:t>1</w:t>
    </w:r>
    <w:r w:rsidR="0054366C" w:rsidRPr="00D55C28">
      <w:rPr>
        <w:sz w:val="20"/>
        <w:szCs w:val="20"/>
      </w:rPr>
      <w:fldChar w:fldCharType="end"/>
    </w:r>
    <w:r w:rsidR="0054366C" w:rsidRPr="00D55C28">
      <w:rPr>
        <w:sz w:val="20"/>
        <w:szCs w:val="20"/>
      </w:rPr>
      <w:t xml:space="preserve"> of </w:t>
    </w:r>
    <w:r w:rsidR="0054366C" w:rsidRPr="00D55C28">
      <w:rPr>
        <w:sz w:val="20"/>
        <w:szCs w:val="20"/>
      </w:rPr>
      <w:fldChar w:fldCharType="begin"/>
    </w:r>
    <w:r w:rsidR="0054366C" w:rsidRPr="00D55C28">
      <w:rPr>
        <w:sz w:val="20"/>
        <w:szCs w:val="20"/>
      </w:rPr>
      <w:instrText xml:space="preserve"> NUMPAGES  \* Arabic  \* MERGEFORMAT </w:instrText>
    </w:r>
    <w:r w:rsidR="0054366C" w:rsidRPr="00D55C28">
      <w:rPr>
        <w:sz w:val="20"/>
        <w:szCs w:val="20"/>
      </w:rPr>
      <w:fldChar w:fldCharType="separate"/>
    </w:r>
    <w:r w:rsidR="0054366C">
      <w:rPr>
        <w:sz w:val="20"/>
        <w:szCs w:val="20"/>
      </w:rPr>
      <w:t>3</w:t>
    </w:r>
    <w:r w:rsidR="0054366C" w:rsidRPr="00D55C28">
      <w:rPr>
        <w:sz w:val="20"/>
        <w:szCs w:val="20"/>
      </w:rPr>
      <w:fldChar w:fldCharType="end"/>
    </w:r>
    <w:r w:rsidR="009C70BF" w:rsidRPr="00A51A24">
      <w:rPr>
        <w:noProof/>
      </w:rPr>
      <mc:AlternateContent>
        <mc:Choice Requires="wps">
          <w:drawing>
            <wp:anchor distT="0" distB="0" distL="114300" distR="114300" simplePos="0" relativeHeight="251658240" behindDoc="0" locked="1" layoutInCell="1" allowOverlap="0" wp14:anchorId="37506B3F" wp14:editId="232F29F4">
              <wp:simplePos x="0" y="0"/>
              <wp:positionH relativeFrom="page">
                <wp:posOffset>-149860</wp:posOffset>
              </wp:positionH>
              <wp:positionV relativeFrom="page">
                <wp:posOffset>9998710</wp:posOffset>
              </wp:positionV>
              <wp:extent cx="8049600" cy="64800"/>
              <wp:effectExtent l="0" t="0" r="8890" b="0"/>
              <wp:wrapNone/>
              <wp:docPr id="7" name="Rectangle 7">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8049600" cy="64800"/>
                      </a:xfrm>
                      <a:prstGeom prst="rect">
                        <a:avLst/>
                      </a:prstGeom>
                      <a:solidFill>
                        <a:srgbClr val="E13446"/>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B8B5219" id="Rectangle 7" o:spid="_x0000_s1026" alt="&quot;&quot;" style="position:absolute;margin-left:-11.8pt;margin-top:787.3pt;width:633.85pt;height:5.1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" o:allowoverlap="f" fillcolor="#e13446" stroked="f" strokeweight="1pt">
              <w10:wrap anchorx="page" anchory="page"/>
              <w10:anchorlock/>
            </v:rect>
          </w:pict>
        </mc:Fallback>
      </mc:AlternateContent>
    </w:r>
    <w:r w:rsidR="0054366C">
      <w:rPr>
        <w:sz w:val="20"/>
        <w:szCs w:val="20"/>
      </w:rPr>
      <w:tab/>
    </w:r>
    <w:r w:rsidR="0054366C">
      <w:rPr>
        <w:sz w:val="20"/>
        <w:szCs w:val="20"/>
      </w:rPr>
      <w:tab/>
    </w:r>
    <w:r w:rsidR="00AF7BFD" w:rsidRPr="00D55C28">
      <w:rPr>
        <w:sz w:val="20"/>
        <w:szCs w:val="20"/>
      </w:rPr>
      <w:t>Basic Word Document</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26F66F" w14:textId="77777777" w:rsidR="00586767" w:rsidRDefault="00586767" w:rsidP="00D55C28">
      <w:pPr>
        <w:spacing w:after="0" w:line="240" w:lineRule="auto"/>
      </w:pPr>
      <w:r>
        <w:separator/>
      </w:r>
    </w:p>
  </w:footnote>
  <w:footnote w:type="continuationSeparator" w:id="0">
    <w:p w14:paraId="4C180720" w14:textId="77777777" w:rsidR="00586767" w:rsidRDefault="00586767" w:rsidP="00D55C28">
      <w:pPr>
        <w:spacing w:after="0" w:line="240" w:lineRule="auto"/>
      </w:pPr>
      <w:r>
        <w:continuationSeparator/>
      </w:r>
    </w:p>
  </w:footnote>
  <w:footnote w:id="1">
    <w:p w14:paraId="7C099A02" w14:textId="77777777" w:rsidR="00052B3F" w:rsidRDefault="00052B3F" w:rsidP="00052B3F">
      <w:pPr>
        <w:pStyle w:val="FootnoteText"/>
      </w:pPr>
      <w:r>
        <w:rPr>
          <w:rStyle w:val="FootnoteReference"/>
        </w:rPr>
        <w:footnoteRef/>
      </w:r>
      <w:r>
        <w:t xml:space="preserve"> Examples here include McMaster University, University of Waterloo, University of British Columbia, Algonquin College, to mention a few.</w:t>
      </w:r>
    </w:p>
  </w:footnote>
  <w:footnote w:id="2">
    <w:p w14:paraId="17663F88" w14:textId="77777777" w:rsidR="00052B3F" w:rsidRDefault="00052B3F" w:rsidP="00052B3F">
      <w:pPr>
        <w:pStyle w:val="FootnoteText"/>
      </w:pPr>
      <w:r>
        <w:rPr>
          <w:rStyle w:val="FootnoteReference"/>
        </w:rPr>
        <w:footnoteRef/>
      </w:r>
      <w:r>
        <w:t xml:space="preserve"> </w:t>
      </w:r>
      <w:r w:rsidRPr="00102C29">
        <w:t>Sick building syndrome is a term used to describe a situation in which building occupants experience a range of health complaints seemingly linked to the indoor environment. These symptoms can be acute or chronic and often disappear when the individual leaves the building (World Health Organization, 2009).</w:t>
      </w:r>
    </w:p>
  </w:footnote>
  <w:footnote w:id="3">
    <w:p w14:paraId="48A0012C" w14:textId="77777777" w:rsidR="00052B3F" w:rsidRPr="00153763" w:rsidRDefault="00052B3F" w:rsidP="00052B3F">
      <w:pPr>
        <w:pStyle w:val="FootnoteText"/>
      </w:pPr>
      <w:r w:rsidRPr="00153763">
        <w:rPr>
          <w:rStyle w:val="FootnoteReference"/>
        </w:rPr>
        <w:footnoteRef/>
      </w:r>
      <w:r w:rsidRPr="00153763">
        <w:t xml:space="preserve"> </w:t>
      </w:r>
      <w:r w:rsidRPr="00153763">
        <w:rPr>
          <w:i/>
          <w:iCs/>
        </w:rPr>
        <w:t>E. coli</w:t>
      </w:r>
      <w:r w:rsidRPr="00153763">
        <w:t xml:space="preserve"> (</w:t>
      </w:r>
      <w:r w:rsidRPr="00D13D30">
        <w:rPr>
          <w:i/>
          <w:iCs/>
        </w:rPr>
        <w:t>Escherichia coli</w:t>
      </w:r>
      <w:r w:rsidRPr="00153763">
        <w:t>) is a type of bacteria commonly found in the intestines of humans and animals. In the context of water and stormwater management, E. coli is a crucial indicator of fecal contamination. Its presence in water bodies, such as rivers, lakes, and stormwater runoff, can signal the potential for harmful pathogens that may cause diseases like gastroenteritis (</w:t>
      </w:r>
      <w:r w:rsidRPr="00544204">
        <w:t>United States Environmental Protection Agency</w:t>
      </w:r>
      <w:r w:rsidRPr="00153763">
        <w:t xml:space="preserve">, </w:t>
      </w:r>
      <w:r w:rsidRPr="00544204">
        <w:t>2012)</w:t>
      </w:r>
      <w:r w:rsidRPr="00153763">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12199E" w14:textId="2E8A8DE3" w:rsidR="008C541A" w:rsidRDefault="00586767">
    <w:pPr>
      <w:pStyle w:val="Header"/>
    </w:pPr>
    <w:r>
      <w:rPr>
        <w:noProof/>
      </w:rPr>
      <w:pict w14:anchorId="0B85587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538081" o:spid="_x0000_s1027" type="#_x0000_t136" alt="" style="position:absolute;margin-left:0;margin-top:0;width:468pt;height:168pt;z-index:-251658237;mso-wrap-edited:f;mso-width-percent:0;mso-height-percent:0;mso-position-horizontal:center;mso-position-horizontal-relative:margin;mso-position-vertical:center;mso-position-vertical-relative:margin;mso-width-percent:0;mso-height-percent:0" o:allowincell="f" fillcolor="#e36367 [1951]" stroked="f">
          <v:textpath style="font-family:&quot;IBM Plex Sans&quot;;font-size:1pt" string="DRAFT"/>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A72180" w14:textId="49C265EF" w:rsidR="008C541A" w:rsidRDefault="00586767">
    <w:pPr>
      <w:pStyle w:val="Header"/>
    </w:pPr>
    <w:r>
      <w:rPr>
        <w:noProof/>
      </w:rPr>
      <w:pict w14:anchorId="68C77CB8">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538082" o:spid="_x0000_s1026" type="#_x0000_t136" alt="" style="position:absolute;margin-left:0;margin-top:0;width:468pt;height:168pt;z-index:-251658236;mso-wrap-edited:f;mso-width-percent:0;mso-height-percent:0;mso-position-horizontal:center;mso-position-horizontal-relative:margin;mso-position-vertical:center;mso-position-vertical-relative:margin;mso-width-percent:0;mso-height-percent:0" o:allowincell="f" fillcolor="#e36367 [1951]" stroked="f">
          <v:textpath style="font-family:&quot;IBM Plex Sans&quot;;font-size:1pt" string="DRAFT"/>
          <w10:wrap anchorx="margin" anchory="margin"/>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976441" w14:textId="1CEA0C19" w:rsidR="008C541A" w:rsidRDefault="00586767">
    <w:pPr>
      <w:pStyle w:val="Header"/>
    </w:pPr>
    <w:r>
      <w:rPr>
        <w:noProof/>
      </w:rPr>
      <w:pict w14:anchorId="0B844747">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55538080" o:spid="_x0000_s1025" type="#_x0000_t136" alt="" style="position:absolute;margin-left:0;margin-top:0;width:468pt;height:168pt;z-index:-251658238;mso-wrap-edited:f;mso-width-percent:0;mso-height-percent:0;mso-position-horizontal:center;mso-position-horizontal-relative:margin;mso-position-vertical:center;mso-position-vertical-relative:margin;mso-width-percent:0;mso-height-percent:0" o:allowincell="f" fillcolor="#e36367 [1951]" stroked="f">
          <v:textpath style="font-family:&quot;IBM Plex Sans&quot;;font-size:1pt" string="DRAFT"/>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w14:anchorId="53529893"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73323841" o:spid="_x0000_i1025" type="#_x0000_t75" style="width:22.55pt;height:21.9pt;visibility:visible;mso-wrap-style:square" o:bullet="t">
        <v:imagedata r:id="rId1" o:title=""/>
      </v:shape>
    </w:pict>
  </w:numPicBullet>
  <w:numPicBullet w:numPicBulletId="1">
    <w:pict>
      <v:shape w14:anchorId="75E806C6" id="Picture 406728325" o:spid="_x0000_i1026" type="#_x0000_t75" style="width:41.95pt;height:55.7pt;visibility:visible;mso-wrap-style:square" o:bullet="t">
        <v:imagedata r:id="rId2" o:title=""/>
      </v:shape>
    </w:pict>
  </w:numPicBullet>
  <w:abstractNum w:abstractNumId="0" w15:restartNumberingAfterBreak="0">
    <w:nsid w:val="00223F3F"/>
    <w:multiLevelType w:val="multilevel"/>
    <w:tmpl w:val="38A8DE2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0E448C8"/>
    <w:multiLevelType w:val="hybridMultilevel"/>
    <w:tmpl w:val="E5DCCF5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13A2E24"/>
    <w:multiLevelType w:val="multilevel"/>
    <w:tmpl w:val="EC643F50"/>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23D01EA"/>
    <w:multiLevelType w:val="multilevel"/>
    <w:tmpl w:val="38A8DE2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028F6610"/>
    <w:multiLevelType w:val="multilevel"/>
    <w:tmpl w:val="93247A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309208C"/>
    <w:multiLevelType w:val="multilevel"/>
    <w:tmpl w:val="829297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064F3018"/>
    <w:multiLevelType w:val="hybridMultilevel"/>
    <w:tmpl w:val="9BF6D76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 w15:restartNumberingAfterBreak="0">
    <w:nsid w:val="06755427"/>
    <w:multiLevelType w:val="hybridMultilevel"/>
    <w:tmpl w:val="5FB657A8"/>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068834A8"/>
    <w:multiLevelType w:val="hybridMultilevel"/>
    <w:tmpl w:val="BDB668B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9" w15:restartNumberingAfterBreak="0">
    <w:nsid w:val="0E1739E5"/>
    <w:multiLevelType w:val="hybridMultilevel"/>
    <w:tmpl w:val="67F22F0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11017B7A"/>
    <w:multiLevelType w:val="multilevel"/>
    <w:tmpl w:val="0D3292C8"/>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17E4059"/>
    <w:multiLevelType w:val="multilevel"/>
    <w:tmpl w:val="38A8DE2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118B438E"/>
    <w:multiLevelType w:val="multilevel"/>
    <w:tmpl w:val="CD38640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5993197"/>
    <w:multiLevelType w:val="multilevel"/>
    <w:tmpl w:val="73C82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6777638"/>
    <w:multiLevelType w:val="multilevel"/>
    <w:tmpl w:val="825A5414"/>
    <w:styleLink w:val="YorkSolidWhiteList"/>
    <w:lvl w:ilvl="0">
      <w:start w:val="1"/>
      <w:numFmt w:val="bullet"/>
      <w:lvlText w:val=""/>
      <w:lvlPicBulletId w:val="1"/>
      <w:lvlJc w:val="left"/>
      <w:pPr>
        <w:ind w:left="227" w:hanging="227"/>
      </w:pPr>
      <w:rPr>
        <w:rFonts w:ascii="Symbol" w:hAnsi="Symbol" w:hint="default"/>
        <w:i/>
        <w:color w:val="auto"/>
        <w:sz w:val="20"/>
      </w:rPr>
    </w:lvl>
    <w:lvl w:ilvl="1">
      <w:start w:val="1"/>
      <w:numFmt w:val="bullet"/>
      <w:lvlText w:val=""/>
      <w:lvlJc w:val="left"/>
      <w:pPr>
        <w:ind w:left="454" w:hanging="227"/>
      </w:pPr>
      <w:rPr>
        <w:rFonts w:ascii="Symbol" w:hAnsi="Symbol" w:hint="default"/>
        <w:color w:val="FFFFFF" w:themeColor="background1"/>
      </w:rPr>
    </w:lvl>
    <w:lvl w:ilvl="2">
      <w:start w:val="1"/>
      <w:numFmt w:val="bullet"/>
      <w:lvlText w:val=""/>
      <w:lvlJc w:val="left"/>
      <w:pPr>
        <w:ind w:left="681" w:hanging="227"/>
      </w:pPr>
      <w:rPr>
        <w:rFonts w:ascii="Wingdings" w:hAnsi="Wingdings" w:hint="default"/>
        <w:color w:val="FFFFFF" w:themeColor="background1"/>
      </w:rPr>
    </w:lvl>
    <w:lvl w:ilvl="3">
      <w:start w:val="1"/>
      <w:numFmt w:val="bullet"/>
      <w:lvlText w:val=""/>
      <w:lvlJc w:val="left"/>
      <w:pPr>
        <w:ind w:left="908" w:hanging="227"/>
      </w:pPr>
      <w:rPr>
        <w:rFonts w:ascii="Symbol" w:hAnsi="Symbol" w:hint="default"/>
        <w:color w:val="FFFFFF" w:themeColor="background1"/>
      </w:rPr>
    </w:lvl>
    <w:lvl w:ilvl="4">
      <w:start w:val="1"/>
      <w:numFmt w:val="bullet"/>
      <w:lvlText w:val="¨"/>
      <w:lvlJc w:val="left"/>
      <w:pPr>
        <w:ind w:left="1135" w:hanging="227"/>
      </w:pPr>
      <w:rPr>
        <w:rFonts w:ascii="Symbol" w:hAnsi="Symbol" w:hint="default"/>
        <w:color w:val="FFFFFF" w:themeColor="background1"/>
      </w:rPr>
    </w:lvl>
    <w:lvl w:ilvl="5">
      <w:start w:val="1"/>
      <w:numFmt w:val="bullet"/>
      <w:lvlText w:val=""/>
      <w:lvlJc w:val="left"/>
      <w:pPr>
        <w:ind w:left="1362" w:hanging="227"/>
      </w:pPr>
      <w:rPr>
        <w:rFonts w:ascii="Wingdings" w:hAnsi="Wingdings" w:hint="default"/>
        <w:color w:val="FFFFFF" w:themeColor="background1"/>
        <w:sz w:val="16"/>
      </w:rPr>
    </w:lvl>
    <w:lvl w:ilvl="6">
      <w:start w:val="1"/>
      <w:numFmt w:val="bullet"/>
      <w:lvlText w:val=""/>
      <w:lvlJc w:val="left"/>
      <w:pPr>
        <w:ind w:left="1589" w:hanging="227"/>
      </w:pPr>
      <w:rPr>
        <w:rFonts w:ascii="Wingdings" w:hAnsi="Wingdings" w:hint="default"/>
        <w:color w:val="FFFFFF" w:themeColor="background1"/>
        <w:sz w:val="16"/>
      </w:rPr>
    </w:lvl>
    <w:lvl w:ilvl="7">
      <w:start w:val="1"/>
      <w:numFmt w:val="bullet"/>
      <w:lvlText w:val=""/>
      <w:lvlJc w:val="left"/>
      <w:pPr>
        <w:ind w:left="1816" w:hanging="227"/>
      </w:pPr>
      <w:rPr>
        <w:rFonts w:ascii="Symbol" w:hAnsi="Symbol" w:hint="default"/>
        <w:color w:val="FFFFFF" w:themeColor="background1"/>
      </w:rPr>
    </w:lvl>
    <w:lvl w:ilvl="8">
      <w:start w:val="1"/>
      <w:numFmt w:val="bullet"/>
      <w:lvlText w:val="¨"/>
      <w:lvlJc w:val="left"/>
      <w:pPr>
        <w:ind w:left="2043" w:hanging="227"/>
      </w:pPr>
      <w:rPr>
        <w:rFonts w:ascii="Symbol" w:hAnsi="Symbol" w:hint="default"/>
        <w:color w:val="FFFFFF" w:themeColor="background1"/>
      </w:rPr>
    </w:lvl>
  </w:abstractNum>
  <w:abstractNum w:abstractNumId="15" w15:restartNumberingAfterBreak="0">
    <w:nsid w:val="176C49D5"/>
    <w:multiLevelType w:val="hybridMultilevel"/>
    <w:tmpl w:val="DDC67542"/>
    <w:name w:val="UnnamedList938"/>
    <w:lvl w:ilvl="0" w:tplc="E270A726">
      <w:numFmt w:val="bullet"/>
      <w:lvlText w:val=""/>
      <w:lvlJc w:val="left"/>
      <w:pPr>
        <w:ind w:left="720" w:hanging="360"/>
      </w:pPr>
      <w:rPr>
        <w:rFonts w:ascii="Symbol" w:eastAsiaTheme="minorHAnsi"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17722001"/>
    <w:multiLevelType w:val="multilevel"/>
    <w:tmpl w:val="38A8DE2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186A445F"/>
    <w:multiLevelType w:val="multilevel"/>
    <w:tmpl w:val="492217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1B397DE4"/>
    <w:multiLevelType w:val="hybridMultilevel"/>
    <w:tmpl w:val="DD546B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1C4D6ABF"/>
    <w:multiLevelType w:val="hybridMultilevel"/>
    <w:tmpl w:val="990872C4"/>
    <w:name w:val="UnnamedList47940"/>
    <w:lvl w:ilvl="0" w:tplc="FFFFFFFF">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36106A48">
      <w:start w:val="1"/>
      <w:numFmt w:val="bullet"/>
      <w:lvlText w:val="o"/>
      <w:lvlJc w:val="left"/>
      <w:pPr>
        <w:ind w:left="2160" w:hanging="360"/>
      </w:pPr>
      <w:rPr>
        <w:rFonts w:ascii="Courier New" w:hAnsi="Courier New"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1E490F7C"/>
    <w:multiLevelType w:val="hybridMultilevel"/>
    <w:tmpl w:val="8416A9C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1EAD1046"/>
    <w:multiLevelType w:val="hybridMultilevel"/>
    <w:tmpl w:val="257A122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218B17F6"/>
    <w:multiLevelType w:val="multilevel"/>
    <w:tmpl w:val="B7A836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21E2039C"/>
    <w:multiLevelType w:val="multilevel"/>
    <w:tmpl w:val="5964D5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22B940CF"/>
    <w:multiLevelType w:val="multilevel"/>
    <w:tmpl w:val="A622E8C0"/>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244365F8"/>
    <w:multiLevelType w:val="hybridMultilevel"/>
    <w:tmpl w:val="2ECA6F7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24644E42"/>
    <w:multiLevelType w:val="hybridMultilevel"/>
    <w:tmpl w:val="DE5AB0F4"/>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28AE4B6E"/>
    <w:multiLevelType w:val="hybridMultilevel"/>
    <w:tmpl w:val="0820064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8" w15:restartNumberingAfterBreak="0">
    <w:nsid w:val="2A37440D"/>
    <w:multiLevelType w:val="multilevel"/>
    <w:tmpl w:val="E3A498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2C1B4FC3"/>
    <w:multiLevelType w:val="multilevel"/>
    <w:tmpl w:val="0BE83A82"/>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2D706BEF"/>
    <w:multiLevelType w:val="hybridMultilevel"/>
    <w:tmpl w:val="E2206240"/>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2E8A2EEF"/>
    <w:multiLevelType w:val="hybridMultilevel"/>
    <w:tmpl w:val="827892D4"/>
    <w:name w:val="UnnamedList21348"/>
    <w:lvl w:ilvl="0" w:tplc="73BED526">
      <w:start w:val="1"/>
      <w:numFmt w:val="bullet"/>
      <w:lvlText w:val=""/>
      <w:lvlJc w:val="left"/>
      <w:pPr>
        <w:ind w:left="720" w:hanging="360"/>
      </w:pPr>
      <w:rPr>
        <w:rFonts w:ascii="Symbol" w:hAnsi="Symbol" w:hint="default"/>
      </w:rPr>
    </w:lvl>
    <w:lvl w:ilvl="1" w:tplc="9FB67910">
      <w:start w:val="1"/>
      <w:numFmt w:val="bullet"/>
      <w:lvlText w:val="o"/>
      <w:lvlJc w:val="left"/>
      <w:pPr>
        <w:ind w:left="1440" w:hanging="360"/>
      </w:pPr>
      <w:rPr>
        <w:rFonts w:ascii="Courier New" w:hAnsi="Courier New" w:hint="default"/>
      </w:rPr>
    </w:lvl>
    <w:lvl w:ilvl="2" w:tplc="F2ECDEC8">
      <w:start w:val="1"/>
      <w:numFmt w:val="bullet"/>
      <w:lvlText w:val=""/>
      <w:lvlJc w:val="left"/>
      <w:pPr>
        <w:ind w:left="2160" w:hanging="360"/>
      </w:pPr>
      <w:rPr>
        <w:rFonts w:ascii="Wingdings" w:hAnsi="Wingdings" w:hint="default"/>
      </w:rPr>
    </w:lvl>
    <w:lvl w:ilvl="3" w:tplc="26E6B646">
      <w:start w:val="1"/>
      <w:numFmt w:val="bullet"/>
      <w:lvlText w:val=""/>
      <w:lvlJc w:val="left"/>
      <w:pPr>
        <w:ind w:left="2880" w:hanging="360"/>
      </w:pPr>
      <w:rPr>
        <w:rFonts w:ascii="Symbol" w:hAnsi="Symbol" w:hint="default"/>
      </w:rPr>
    </w:lvl>
    <w:lvl w:ilvl="4" w:tplc="2C08ACAA">
      <w:start w:val="1"/>
      <w:numFmt w:val="bullet"/>
      <w:lvlText w:val="o"/>
      <w:lvlJc w:val="left"/>
      <w:pPr>
        <w:ind w:left="3600" w:hanging="360"/>
      </w:pPr>
      <w:rPr>
        <w:rFonts w:ascii="Courier New" w:hAnsi="Courier New" w:hint="default"/>
      </w:rPr>
    </w:lvl>
    <w:lvl w:ilvl="5" w:tplc="879E38E2">
      <w:start w:val="1"/>
      <w:numFmt w:val="bullet"/>
      <w:lvlText w:val=""/>
      <w:lvlJc w:val="left"/>
      <w:pPr>
        <w:ind w:left="4320" w:hanging="360"/>
      </w:pPr>
      <w:rPr>
        <w:rFonts w:ascii="Wingdings" w:hAnsi="Wingdings" w:hint="default"/>
      </w:rPr>
    </w:lvl>
    <w:lvl w:ilvl="6" w:tplc="B8E020DE">
      <w:start w:val="1"/>
      <w:numFmt w:val="bullet"/>
      <w:lvlText w:val=""/>
      <w:lvlJc w:val="left"/>
      <w:pPr>
        <w:ind w:left="5040" w:hanging="360"/>
      </w:pPr>
      <w:rPr>
        <w:rFonts w:ascii="Symbol" w:hAnsi="Symbol" w:hint="default"/>
      </w:rPr>
    </w:lvl>
    <w:lvl w:ilvl="7" w:tplc="3A2297DE">
      <w:start w:val="1"/>
      <w:numFmt w:val="bullet"/>
      <w:lvlText w:val="o"/>
      <w:lvlJc w:val="left"/>
      <w:pPr>
        <w:ind w:left="5760" w:hanging="360"/>
      </w:pPr>
      <w:rPr>
        <w:rFonts w:ascii="Courier New" w:hAnsi="Courier New" w:hint="default"/>
      </w:rPr>
    </w:lvl>
    <w:lvl w:ilvl="8" w:tplc="C2886C1A">
      <w:start w:val="1"/>
      <w:numFmt w:val="bullet"/>
      <w:lvlText w:val=""/>
      <w:lvlJc w:val="left"/>
      <w:pPr>
        <w:ind w:left="6480" w:hanging="360"/>
      </w:pPr>
      <w:rPr>
        <w:rFonts w:ascii="Wingdings" w:hAnsi="Wingdings" w:hint="default"/>
      </w:rPr>
    </w:lvl>
  </w:abstractNum>
  <w:abstractNum w:abstractNumId="32" w15:restartNumberingAfterBreak="0">
    <w:nsid w:val="2ED9791C"/>
    <w:multiLevelType w:val="hybridMultilevel"/>
    <w:tmpl w:val="F404EC8C"/>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308C3050"/>
    <w:multiLevelType w:val="hybridMultilevel"/>
    <w:tmpl w:val="56C8875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30B9675C"/>
    <w:multiLevelType w:val="multilevel"/>
    <w:tmpl w:val="09DC89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31AE217C"/>
    <w:multiLevelType w:val="hybridMultilevel"/>
    <w:tmpl w:val="6ECAA42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6" w15:restartNumberingAfterBreak="0">
    <w:nsid w:val="32F21890"/>
    <w:multiLevelType w:val="hybridMultilevel"/>
    <w:tmpl w:val="28E07A7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7" w15:restartNumberingAfterBreak="0">
    <w:nsid w:val="332B309A"/>
    <w:multiLevelType w:val="multilevel"/>
    <w:tmpl w:val="9970FA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34247F27"/>
    <w:multiLevelType w:val="multilevel"/>
    <w:tmpl w:val="B5728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349B5779"/>
    <w:multiLevelType w:val="multilevel"/>
    <w:tmpl w:val="A2528AAC"/>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0" w15:restartNumberingAfterBreak="0">
    <w:nsid w:val="3860707A"/>
    <w:multiLevelType w:val="hybridMultilevel"/>
    <w:tmpl w:val="726AE7E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394A78E3"/>
    <w:multiLevelType w:val="multilevel"/>
    <w:tmpl w:val="EB4ECD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3EEE7617"/>
    <w:multiLevelType w:val="hybridMultilevel"/>
    <w:tmpl w:val="5816CE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3F8B7CB8"/>
    <w:multiLevelType w:val="hybridMultilevel"/>
    <w:tmpl w:val="EEB6823A"/>
    <w:name w:val="UnnamedList22708"/>
    <w:lvl w:ilvl="0" w:tplc="6AEEBA22">
      <w:start w:val="38"/>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4" w15:restartNumberingAfterBreak="0">
    <w:nsid w:val="3FB7036C"/>
    <w:multiLevelType w:val="multilevel"/>
    <w:tmpl w:val="E2FA4840"/>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5" w15:restartNumberingAfterBreak="0">
    <w:nsid w:val="40D03AB2"/>
    <w:multiLevelType w:val="multilevel"/>
    <w:tmpl w:val="07A4A32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6" w15:restartNumberingAfterBreak="0">
    <w:nsid w:val="426E30AD"/>
    <w:multiLevelType w:val="hybridMultilevel"/>
    <w:tmpl w:val="1558484A"/>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436B1EA6"/>
    <w:multiLevelType w:val="multilevel"/>
    <w:tmpl w:val="6628881C"/>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8" w15:restartNumberingAfterBreak="0">
    <w:nsid w:val="43BB2D2C"/>
    <w:multiLevelType w:val="multilevel"/>
    <w:tmpl w:val="8F6477E4"/>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9" w15:restartNumberingAfterBreak="0">
    <w:nsid w:val="455E6A76"/>
    <w:multiLevelType w:val="multilevel"/>
    <w:tmpl w:val="230CD65E"/>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0" w15:restartNumberingAfterBreak="0">
    <w:nsid w:val="457F6464"/>
    <w:multiLevelType w:val="hybridMultilevel"/>
    <w:tmpl w:val="3F807F2C"/>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1" w15:restartNumberingAfterBreak="0">
    <w:nsid w:val="46ED2C49"/>
    <w:multiLevelType w:val="multilevel"/>
    <w:tmpl w:val="47C234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2" w15:restartNumberingAfterBreak="0">
    <w:nsid w:val="488B3712"/>
    <w:multiLevelType w:val="multilevel"/>
    <w:tmpl w:val="C01A3D5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3" w15:restartNumberingAfterBreak="0">
    <w:nsid w:val="488C637F"/>
    <w:multiLevelType w:val="hybridMultilevel"/>
    <w:tmpl w:val="A304511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54" w15:restartNumberingAfterBreak="0">
    <w:nsid w:val="48FE7463"/>
    <w:multiLevelType w:val="hybridMultilevel"/>
    <w:tmpl w:val="0E8EB3BC"/>
    <w:name w:val="UnnamedList77385"/>
    <w:lvl w:ilvl="0" w:tplc="46A6B89E">
      <w:start w:val="1"/>
      <w:numFmt w:val="bullet"/>
      <w:lvlText w:val=""/>
      <w:lvlJc w:val="left"/>
      <w:pPr>
        <w:ind w:left="720" w:hanging="360"/>
      </w:pPr>
      <w:rPr>
        <w:rFonts w:ascii="Symbol" w:eastAsiaTheme="minorEastAsia" w:hAnsi="Symbol"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15:restartNumberingAfterBreak="0">
    <w:nsid w:val="4A2E0B96"/>
    <w:multiLevelType w:val="hybridMultilevel"/>
    <w:tmpl w:val="5134B90E"/>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6" w15:restartNumberingAfterBreak="0">
    <w:nsid w:val="4C372A75"/>
    <w:multiLevelType w:val="hybridMultilevel"/>
    <w:tmpl w:val="81E6C0D2"/>
    <w:name w:val="UnnamedList49276"/>
    <w:lvl w:ilvl="0" w:tplc="6D909C2A">
      <w:start w:val="1"/>
      <w:numFmt w:val="bullet"/>
      <w:lvlText w:val=""/>
      <w:lvlJc w:val="left"/>
      <w:pPr>
        <w:ind w:left="720" w:hanging="360"/>
      </w:pPr>
      <w:rPr>
        <w:rFonts w:ascii="Symbol" w:eastAsiaTheme="minorEastAsia" w:hAnsi="Symbol" w:cs="Aria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7" w15:restartNumberingAfterBreak="0">
    <w:nsid w:val="4CC56021"/>
    <w:multiLevelType w:val="hybridMultilevel"/>
    <w:tmpl w:val="2062BFD6"/>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8" w15:restartNumberingAfterBreak="0">
    <w:nsid w:val="4FEB31AF"/>
    <w:multiLevelType w:val="hybridMultilevel"/>
    <w:tmpl w:val="7D800AF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15:restartNumberingAfterBreak="0">
    <w:nsid w:val="51B30A94"/>
    <w:multiLevelType w:val="hybridMultilevel"/>
    <w:tmpl w:val="159EB9D8"/>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1DB1278"/>
    <w:multiLevelType w:val="multilevel"/>
    <w:tmpl w:val="88C426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1" w15:restartNumberingAfterBreak="0">
    <w:nsid w:val="52210331"/>
    <w:multiLevelType w:val="hybridMultilevel"/>
    <w:tmpl w:val="6464B5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15:restartNumberingAfterBreak="0">
    <w:nsid w:val="5833647A"/>
    <w:multiLevelType w:val="multilevel"/>
    <w:tmpl w:val="A2528AAC"/>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3" w15:restartNumberingAfterBreak="0">
    <w:nsid w:val="59002374"/>
    <w:multiLevelType w:val="hybridMultilevel"/>
    <w:tmpl w:val="C010AA0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4" w15:restartNumberingAfterBreak="0">
    <w:nsid w:val="5A386ED8"/>
    <w:multiLevelType w:val="multilevel"/>
    <w:tmpl w:val="888258DA"/>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15:restartNumberingAfterBreak="0">
    <w:nsid w:val="5AA5362D"/>
    <w:multiLevelType w:val="hybridMultilevel"/>
    <w:tmpl w:val="59EAC4D2"/>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66" w15:restartNumberingAfterBreak="0">
    <w:nsid w:val="5B255D32"/>
    <w:multiLevelType w:val="multilevel"/>
    <w:tmpl w:val="3500B2F2"/>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7" w15:restartNumberingAfterBreak="0">
    <w:nsid w:val="5CAD16FD"/>
    <w:multiLevelType w:val="multilevel"/>
    <w:tmpl w:val="91E69D0A"/>
    <w:styleLink w:val="YorkBulletedList"/>
    <w:lvl w:ilvl="0">
      <w:start w:val="1"/>
      <w:numFmt w:val="bullet"/>
      <w:lvlText w:val=""/>
      <w:lvlPicBulletId w:val="0"/>
      <w:lvlJc w:val="left"/>
      <w:pPr>
        <w:ind w:left="227" w:hanging="227"/>
      </w:pPr>
      <w:rPr>
        <w:rFonts w:ascii="Symbol" w:hAnsi="Symbol" w:hint="default"/>
        <w:color w:val="auto"/>
        <w:sz w:val="24"/>
      </w:rPr>
    </w:lvl>
    <w:lvl w:ilvl="1">
      <w:start w:val="1"/>
      <w:numFmt w:val="bullet"/>
      <w:lvlText w:val=""/>
      <w:lvlJc w:val="left"/>
      <w:pPr>
        <w:ind w:left="454" w:hanging="227"/>
      </w:pPr>
      <w:rPr>
        <w:rFonts w:ascii="Symbol" w:hAnsi="Symbol" w:hint="default"/>
        <w:color w:val="E13446"/>
      </w:rPr>
    </w:lvl>
    <w:lvl w:ilvl="2">
      <w:start w:val="1"/>
      <w:numFmt w:val="bullet"/>
      <w:lvlText w:val=""/>
      <w:lvlJc w:val="left"/>
      <w:pPr>
        <w:ind w:left="681" w:hanging="227"/>
      </w:pPr>
      <w:rPr>
        <w:rFonts w:ascii="Wingdings" w:hAnsi="Wingdings" w:hint="default"/>
        <w:sz w:val="24"/>
      </w:rPr>
    </w:lvl>
    <w:lvl w:ilvl="3">
      <w:start w:val="1"/>
      <w:numFmt w:val="bullet"/>
      <w:lvlText w:val=""/>
      <w:lvlJc w:val="left"/>
      <w:pPr>
        <w:ind w:left="908" w:hanging="227"/>
      </w:pPr>
      <w:rPr>
        <w:rFonts w:ascii="Symbol" w:hAnsi="Symbol" w:hint="default"/>
      </w:rPr>
    </w:lvl>
    <w:lvl w:ilvl="4">
      <w:start w:val="1"/>
      <w:numFmt w:val="bullet"/>
      <w:lvlText w:val=""/>
      <w:lvlJc w:val="left"/>
      <w:pPr>
        <w:ind w:left="1135" w:hanging="227"/>
      </w:pPr>
      <w:rPr>
        <w:rFonts w:ascii="Symbol" w:hAnsi="Symbol" w:hint="default"/>
      </w:rPr>
    </w:lvl>
    <w:lvl w:ilvl="5">
      <w:start w:val="1"/>
      <w:numFmt w:val="bullet"/>
      <w:lvlText w:val="n"/>
      <w:lvlJc w:val="left"/>
      <w:pPr>
        <w:ind w:left="1362" w:hanging="227"/>
      </w:pPr>
      <w:rPr>
        <w:rFonts w:ascii="Wingdings" w:hAnsi="Wingdings" w:hint="default"/>
        <w:sz w:val="16"/>
      </w:rPr>
    </w:lvl>
    <w:lvl w:ilvl="6">
      <w:start w:val="1"/>
      <w:numFmt w:val="bullet"/>
      <w:lvlText w:val=""/>
      <w:lvlJc w:val="left"/>
      <w:pPr>
        <w:ind w:left="1589" w:hanging="227"/>
      </w:pPr>
      <w:rPr>
        <w:rFonts w:ascii="Wingdings" w:hAnsi="Wingdings" w:hint="default"/>
      </w:rPr>
    </w:lvl>
    <w:lvl w:ilvl="7">
      <w:start w:val="1"/>
      <w:numFmt w:val="bullet"/>
      <w:lvlText w:val=""/>
      <w:lvlJc w:val="left"/>
      <w:pPr>
        <w:ind w:left="1816" w:hanging="227"/>
      </w:pPr>
      <w:rPr>
        <w:rFonts w:ascii="Symbol" w:hAnsi="Symbol" w:hint="default"/>
      </w:rPr>
    </w:lvl>
    <w:lvl w:ilvl="8">
      <w:start w:val="1"/>
      <w:numFmt w:val="bullet"/>
      <w:lvlText w:val=""/>
      <w:lvlJc w:val="left"/>
      <w:pPr>
        <w:ind w:left="2043" w:hanging="227"/>
      </w:pPr>
      <w:rPr>
        <w:rFonts w:ascii="Symbol" w:hAnsi="Symbol" w:hint="default"/>
      </w:rPr>
    </w:lvl>
  </w:abstractNum>
  <w:abstractNum w:abstractNumId="68" w15:restartNumberingAfterBreak="0">
    <w:nsid w:val="5E273BB9"/>
    <w:multiLevelType w:val="multilevel"/>
    <w:tmpl w:val="38A8DE28"/>
    <w:lvl w:ilvl="0">
      <w:start w:val="1"/>
      <w:numFmt w:val="bullet"/>
      <w:lvlText w:val=""/>
      <w:lvlJc w:val="left"/>
      <w:pPr>
        <w:ind w:left="720" w:hanging="360"/>
      </w:pPr>
      <w:rPr>
        <w:rFonts w:ascii="Symbol" w:hAnsi="Symbol" w:hint="default"/>
      </w:r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9" w15:restartNumberingAfterBreak="0">
    <w:nsid w:val="5F935C63"/>
    <w:multiLevelType w:val="multilevel"/>
    <w:tmpl w:val="05CCBE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0" w15:restartNumberingAfterBreak="0">
    <w:nsid w:val="5F992EDB"/>
    <w:multiLevelType w:val="hybridMultilevel"/>
    <w:tmpl w:val="9222AB84"/>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1" w15:restartNumberingAfterBreak="0">
    <w:nsid w:val="64985F1C"/>
    <w:multiLevelType w:val="multilevel"/>
    <w:tmpl w:val="EDD2417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2" w15:restartNumberingAfterBreak="0">
    <w:nsid w:val="66D72368"/>
    <w:multiLevelType w:val="multilevel"/>
    <w:tmpl w:val="2C7866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3" w15:restartNumberingAfterBreak="0">
    <w:nsid w:val="68380894"/>
    <w:multiLevelType w:val="multilevel"/>
    <w:tmpl w:val="96AE3948"/>
    <w:name w:val="UnnamedList82881"/>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4" w15:restartNumberingAfterBreak="0">
    <w:nsid w:val="69BF0286"/>
    <w:multiLevelType w:val="hybridMultilevel"/>
    <w:tmpl w:val="0B00630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5" w15:restartNumberingAfterBreak="0">
    <w:nsid w:val="6DC142FE"/>
    <w:multiLevelType w:val="hybridMultilevel"/>
    <w:tmpl w:val="896EC1FA"/>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6" w15:restartNumberingAfterBreak="0">
    <w:nsid w:val="6DC31DAA"/>
    <w:multiLevelType w:val="hybridMultilevel"/>
    <w:tmpl w:val="7996E436"/>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7" w15:restartNumberingAfterBreak="0">
    <w:nsid w:val="71DD0330"/>
    <w:multiLevelType w:val="hybridMultilevel"/>
    <w:tmpl w:val="0040E20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78" w15:restartNumberingAfterBreak="0">
    <w:nsid w:val="725B6807"/>
    <w:multiLevelType w:val="multilevel"/>
    <w:tmpl w:val="53DA30C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9" w15:restartNumberingAfterBreak="0">
    <w:nsid w:val="73A9727A"/>
    <w:multiLevelType w:val="multilevel"/>
    <w:tmpl w:val="2ADED138"/>
    <w:lvl w:ilvl="0">
      <w:start w:val="1"/>
      <w:numFmt w:val="lowerRoman"/>
      <w:lvlText w:val="%1."/>
      <w:lvlJc w:val="right"/>
      <w:pPr>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0" w15:restartNumberingAfterBreak="0">
    <w:nsid w:val="77CF19DE"/>
    <w:multiLevelType w:val="hybridMultilevel"/>
    <w:tmpl w:val="FB3846B0"/>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1" w15:restartNumberingAfterBreak="0">
    <w:nsid w:val="7EA30ED9"/>
    <w:multiLevelType w:val="hybridMultilevel"/>
    <w:tmpl w:val="9BC081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473019514">
    <w:abstractNumId w:val="67"/>
  </w:num>
  <w:num w:numId="2" w16cid:durableId="1084103855">
    <w:abstractNumId w:val="14"/>
  </w:num>
  <w:num w:numId="3" w16cid:durableId="75245814">
    <w:abstractNumId w:val="20"/>
  </w:num>
  <w:num w:numId="4" w16cid:durableId="1318878332">
    <w:abstractNumId w:val="75"/>
  </w:num>
  <w:num w:numId="5" w16cid:durableId="639926061">
    <w:abstractNumId w:val="40"/>
  </w:num>
  <w:num w:numId="6" w16cid:durableId="476654545">
    <w:abstractNumId w:val="21"/>
  </w:num>
  <w:num w:numId="7" w16cid:durableId="862330149">
    <w:abstractNumId w:val="58"/>
  </w:num>
  <w:num w:numId="8" w16cid:durableId="684749736">
    <w:abstractNumId w:val="55"/>
  </w:num>
  <w:num w:numId="9" w16cid:durableId="1358891259">
    <w:abstractNumId w:val="32"/>
  </w:num>
  <w:num w:numId="10" w16cid:durableId="660086674">
    <w:abstractNumId w:val="59"/>
  </w:num>
  <w:num w:numId="11" w16cid:durableId="477920592">
    <w:abstractNumId w:val="30"/>
  </w:num>
  <w:num w:numId="12" w16cid:durableId="1670253912">
    <w:abstractNumId w:val="25"/>
  </w:num>
  <w:num w:numId="13" w16cid:durableId="1191141031">
    <w:abstractNumId w:val="1"/>
  </w:num>
  <w:num w:numId="14" w16cid:durableId="695425672">
    <w:abstractNumId w:val="57"/>
  </w:num>
  <w:num w:numId="15" w16cid:durableId="1224606888">
    <w:abstractNumId w:val="61"/>
  </w:num>
  <w:num w:numId="16" w16cid:durableId="1538081919">
    <w:abstractNumId w:val="7"/>
  </w:num>
  <w:num w:numId="17" w16cid:durableId="2074307151">
    <w:abstractNumId w:val="79"/>
  </w:num>
  <w:num w:numId="18" w16cid:durableId="1122188805">
    <w:abstractNumId w:val="10"/>
  </w:num>
  <w:num w:numId="19" w16cid:durableId="156776184">
    <w:abstractNumId w:val="49"/>
  </w:num>
  <w:num w:numId="20" w16cid:durableId="1240945910">
    <w:abstractNumId w:val="71"/>
  </w:num>
  <w:num w:numId="21" w16cid:durableId="1618027179">
    <w:abstractNumId w:val="41"/>
  </w:num>
  <w:num w:numId="22" w16cid:durableId="974019966">
    <w:abstractNumId w:val="5"/>
  </w:num>
  <w:num w:numId="23" w16cid:durableId="29571494">
    <w:abstractNumId w:val="24"/>
  </w:num>
  <w:num w:numId="24" w16cid:durableId="1808087079">
    <w:abstractNumId w:val="44"/>
  </w:num>
  <w:num w:numId="25" w16cid:durableId="1060598080">
    <w:abstractNumId w:val="29"/>
  </w:num>
  <w:num w:numId="26" w16cid:durableId="1203204611">
    <w:abstractNumId w:val="18"/>
  </w:num>
  <w:num w:numId="27" w16cid:durableId="1527477574">
    <w:abstractNumId w:val="4"/>
  </w:num>
  <w:num w:numId="28" w16cid:durableId="882907036">
    <w:abstractNumId w:val="45"/>
  </w:num>
  <w:num w:numId="29" w16cid:durableId="288902069">
    <w:abstractNumId w:val="34"/>
  </w:num>
  <w:num w:numId="30" w16cid:durableId="1478911533">
    <w:abstractNumId w:val="17"/>
  </w:num>
  <w:num w:numId="31" w16cid:durableId="465513753">
    <w:abstractNumId w:val="22"/>
  </w:num>
  <w:num w:numId="32" w16cid:durableId="1162896018">
    <w:abstractNumId w:val="51"/>
  </w:num>
  <w:num w:numId="33" w16cid:durableId="257253070">
    <w:abstractNumId w:val="38"/>
  </w:num>
  <w:num w:numId="34" w16cid:durableId="1961690715">
    <w:abstractNumId w:val="72"/>
  </w:num>
  <w:num w:numId="35" w16cid:durableId="683560252">
    <w:abstractNumId w:val="23"/>
  </w:num>
  <w:num w:numId="36" w16cid:durableId="906065917">
    <w:abstractNumId w:val="60"/>
  </w:num>
  <w:num w:numId="37" w16cid:durableId="1118336124">
    <w:abstractNumId w:val="52"/>
  </w:num>
  <w:num w:numId="38" w16cid:durableId="642849280">
    <w:abstractNumId w:val="69"/>
  </w:num>
  <w:num w:numId="39" w16cid:durableId="384647179">
    <w:abstractNumId w:val="13"/>
  </w:num>
  <w:num w:numId="40" w16cid:durableId="461266559">
    <w:abstractNumId w:val="28"/>
  </w:num>
  <w:num w:numId="41" w16cid:durableId="1932158528">
    <w:abstractNumId w:val="74"/>
  </w:num>
  <w:num w:numId="42" w16cid:durableId="1520772019">
    <w:abstractNumId w:val="42"/>
  </w:num>
  <w:num w:numId="43" w16cid:durableId="1664234427">
    <w:abstractNumId w:val="62"/>
  </w:num>
  <w:num w:numId="44" w16cid:durableId="1346205284">
    <w:abstractNumId w:val="39"/>
  </w:num>
  <w:num w:numId="45" w16cid:durableId="259527091">
    <w:abstractNumId w:val="47"/>
  </w:num>
  <w:num w:numId="46" w16cid:durableId="2000499239">
    <w:abstractNumId w:val="36"/>
  </w:num>
  <w:num w:numId="47" w16cid:durableId="947851301">
    <w:abstractNumId w:val="9"/>
  </w:num>
  <w:num w:numId="48" w16cid:durableId="1139805643">
    <w:abstractNumId w:val="53"/>
  </w:num>
  <w:num w:numId="49" w16cid:durableId="1085347511">
    <w:abstractNumId w:val="33"/>
  </w:num>
  <w:num w:numId="50" w16cid:durableId="1391076383">
    <w:abstractNumId w:val="70"/>
  </w:num>
  <w:num w:numId="51" w16cid:durableId="1552645911">
    <w:abstractNumId w:val="77"/>
  </w:num>
  <w:num w:numId="52" w16cid:durableId="796021566">
    <w:abstractNumId w:val="50"/>
  </w:num>
  <w:num w:numId="53" w16cid:durableId="1097556527">
    <w:abstractNumId w:val="80"/>
  </w:num>
  <w:num w:numId="54" w16cid:durableId="1314484930">
    <w:abstractNumId w:val="63"/>
  </w:num>
  <w:num w:numId="55" w16cid:durableId="1746417883">
    <w:abstractNumId w:val="76"/>
  </w:num>
  <w:num w:numId="56" w16cid:durableId="1089085450">
    <w:abstractNumId w:val="65"/>
  </w:num>
  <w:num w:numId="57" w16cid:durableId="766778297">
    <w:abstractNumId w:val="35"/>
  </w:num>
  <w:num w:numId="58" w16cid:durableId="1144851913">
    <w:abstractNumId w:val="6"/>
  </w:num>
  <w:num w:numId="59" w16cid:durableId="1467313213">
    <w:abstractNumId w:val="27"/>
  </w:num>
  <w:num w:numId="60" w16cid:durableId="1738671270">
    <w:abstractNumId w:val="8"/>
  </w:num>
  <w:num w:numId="61" w16cid:durableId="42486560">
    <w:abstractNumId w:val="16"/>
  </w:num>
  <w:num w:numId="62" w16cid:durableId="1919288273">
    <w:abstractNumId w:val="68"/>
  </w:num>
  <w:num w:numId="63" w16cid:durableId="1227106743">
    <w:abstractNumId w:val="0"/>
  </w:num>
  <w:num w:numId="64" w16cid:durableId="1368682006">
    <w:abstractNumId w:val="3"/>
  </w:num>
  <w:num w:numId="65" w16cid:durableId="444349550">
    <w:abstractNumId w:val="11"/>
  </w:num>
  <w:num w:numId="66" w16cid:durableId="480274386">
    <w:abstractNumId w:val="37"/>
  </w:num>
  <w:num w:numId="67" w16cid:durableId="485708962">
    <w:abstractNumId w:val="12"/>
  </w:num>
  <w:num w:numId="68" w16cid:durableId="1493370827">
    <w:abstractNumId w:val="78"/>
  </w:num>
  <w:num w:numId="69" w16cid:durableId="517501556">
    <w:abstractNumId w:val="66"/>
  </w:num>
  <w:num w:numId="70" w16cid:durableId="1712462825">
    <w:abstractNumId w:val="2"/>
  </w:num>
  <w:num w:numId="71" w16cid:durableId="836922446">
    <w:abstractNumId w:val="64"/>
  </w:num>
  <w:num w:numId="72" w16cid:durableId="731468887">
    <w:abstractNumId w:val="48"/>
  </w:num>
  <w:num w:numId="73" w16cid:durableId="508757578">
    <w:abstractNumId w:val="81"/>
  </w:num>
  <w:num w:numId="74" w16cid:durableId="1180967685">
    <w:abstractNumId w:val="46"/>
  </w:num>
  <w:num w:numId="75" w16cid:durableId="1312171314">
    <w:abstractNumId w:val="15"/>
  </w:num>
  <w:num w:numId="76" w16cid:durableId="1617642691">
    <w:abstractNumId w:val="26"/>
  </w:num>
  <w:numIdMacAtCleanup w:val="7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9"/>
  <w:hideSpellingErrors/>
  <w:hideGrammaticalErrors/>
  <w:stylePaneFormatFilter w:val="1828" w:allStyles="0" w:customStyles="0" w:latentStyles="0" w:stylesInUse="1" w:headingStyles="1" w:numberingStyles="0" w:tableStyles="0" w:directFormattingOnRuns="0" w:directFormattingOnParagraphs="0" w:directFormattingOnNumbering="0" w:directFormattingOnTables="1" w:clearFormatting="1" w:top3HeadingStyles="0" w:visibleStyles="0" w:alternateStyleNames="0"/>
  <w:stylePaneSortMethod w:val="0000"/>
  <w:defaultTabStop w:val="720"/>
  <w:characterSpacingControl w:val="doNotCompress"/>
  <w:hdrShapeDefaults>
    <o:shapedefaults v:ext="edit" spidmax="2050"/>
    <o:shapelayout v:ext="edit">
      <o:idmap v:ext="edit" data="1"/>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sbA0MLIwMjExNLA0tDRX0lEKTi0uzszPAykwrwUAXlDBwiwAAAA="/>
  </w:docVars>
  <w:rsids>
    <w:rsidRoot w:val="00531CC0"/>
    <w:rsid w:val="000002F2"/>
    <w:rsid w:val="00001746"/>
    <w:rsid w:val="00020356"/>
    <w:rsid w:val="00027B17"/>
    <w:rsid w:val="0003264A"/>
    <w:rsid w:val="00037CF3"/>
    <w:rsid w:val="000434B1"/>
    <w:rsid w:val="00043586"/>
    <w:rsid w:val="0004399B"/>
    <w:rsid w:val="00045347"/>
    <w:rsid w:val="00045C79"/>
    <w:rsid w:val="00050B96"/>
    <w:rsid w:val="00052B3F"/>
    <w:rsid w:val="0008022E"/>
    <w:rsid w:val="000A416B"/>
    <w:rsid w:val="000A5D6F"/>
    <w:rsid w:val="000A5E80"/>
    <w:rsid w:val="000B0118"/>
    <w:rsid w:val="000C0AE0"/>
    <w:rsid w:val="000C60FA"/>
    <w:rsid w:val="000D3022"/>
    <w:rsid w:val="000E21D8"/>
    <w:rsid w:val="000F6FB7"/>
    <w:rsid w:val="00113048"/>
    <w:rsid w:val="001255A5"/>
    <w:rsid w:val="00125FCC"/>
    <w:rsid w:val="00126966"/>
    <w:rsid w:val="0012697A"/>
    <w:rsid w:val="00135861"/>
    <w:rsid w:val="001431FC"/>
    <w:rsid w:val="001435A1"/>
    <w:rsid w:val="0014682D"/>
    <w:rsid w:val="001566AD"/>
    <w:rsid w:val="00171644"/>
    <w:rsid w:val="0017693A"/>
    <w:rsid w:val="00180B3C"/>
    <w:rsid w:val="00185846"/>
    <w:rsid w:val="001924FF"/>
    <w:rsid w:val="00193864"/>
    <w:rsid w:val="00195234"/>
    <w:rsid w:val="001972D8"/>
    <w:rsid w:val="001A469A"/>
    <w:rsid w:val="001A7D4C"/>
    <w:rsid w:val="001B2ED1"/>
    <w:rsid w:val="001B64C1"/>
    <w:rsid w:val="001B760A"/>
    <w:rsid w:val="001C06CE"/>
    <w:rsid w:val="001C1110"/>
    <w:rsid w:val="001C21F4"/>
    <w:rsid w:val="001C3428"/>
    <w:rsid w:val="001C4C1B"/>
    <w:rsid w:val="001D12A4"/>
    <w:rsid w:val="001D57A3"/>
    <w:rsid w:val="001E7ACB"/>
    <w:rsid w:val="001F22D8"/>
    <w:rsid w:val="001F6415"/>
    <w:rsid w:val="00201B6C"/>
    <w:rsid w:val="00204A0D"/>
    <w:rsid w:val="00213805"/>
    <w:rsid w:val="00221F72"/>
    <w:rsid w:val="00222955"/>
    <w:rsid w:val="00227588"/>
    <w:rsid w:val="00235251"/>
    <w:rsid w:val="00242AC5"/>
    <w:rsid w:val="00246EAD"/>
    <w:rsid w:val="00251447"/>
    <w:rsid w:val="00252273"/>
    <w:rsid w:val="002569CC"/>
    <w:rsid w:val="002604DB"/>
    <w:rsid w:val="0026415C"/>
    <w:rsid w:val="00266461"/>
    <w:rsid w:val="0027088D"/>
    <w:rsid w:val="00271C0D"/>
    <w:rsid w:val="00294467"/>
    <w:rsid w:val="002A0173"/>
    <w:rsid w:val="002B29C9"/>
    <w:rsid w:val="002C561B"/>
    <w:rsid w:val="002C6424"/>
    <w:rsid w:val="002D10E5"/>
    <w:rsid w:val="002D3404"/>
    <w:rsid w:val="002D402D"/>
    <w:rsid w:val="002E5DFC"/>
    <w:rsid w:val="002F077D"/>
    <w:rsid w:val="00314732"/>
    <w:rsid w:val="00316C1B"/>
    <w:rsid w:val="00316FCB"/>
    <w:rsid w:val="00317768"/>
    <w:rsid w:val="00330251"/>
    <w:rsid w:val="003417D3"/>
    <w:rsid w:val="003465F6"/>
    <w:rsid w:val="0037285B"/>
    <w:rsid w:val="00373E73"/>
    <w:rsid w:val="00377A95"/>
    <w:rsid w:val="00381989"/>
    <w:rsid w:val="00385577"/>
    <w:rsid w:val="00393FCF"/>
    <w:rsid w:val="003B396C"/>
    <w:rsid w:val="003C2A62"/>
    <w:rsid w:val="003C4867"/>
    <w:rsid w:val="003C4EF6"/>
    <w:rsid w:val="003D52F8"/>
    <w:rsid w:val="003F55A5"/>
    <w:rsid w:val="003F5AE1"/>
    <w:rsid w:val="00406BF9"/>
    <w:rsid w:val="004209B1"/>
    <w:rsid w:val="004250AA"/>
    <w:rsid w:val="00426835"/>
    <w:rsid w:val="00434D22"/>
    <w:rsid w:val="004359B0"/>
    <w:rsid w:val="00465E6B"/>
    <w:rsid w:val="00467490"/>
    <w:rsid w:val="00470D8D"/>
    <w:rsid w:val="00483DB2"/>
    <w:rsid w:val="004A0AEE"/>
    <w:rsid w:val="004A2DF8"/>
    <w:rsid w:val="004A4D02"/>
    <w:rsid w:val="004A57A5"/>
    <w:rsid w:val="004B381F"/>
    <w:rsid w:val="004C1BBC"/>
    <w:rsid w:val="004C46A2"/>
    <w:rsid w:val="004D1EBD"/>
    <w:rsid w:val="004F0BF8"/>
    <w:rsid w:val="005060B8"/>
    <w:rsid w:val="00527FBF"/>
    <w:rsid w:val="00531CC0"/>
    <w:rsid w:val="0053643B"/>
    <w:rsid w:val="00537CBD"/>
    <w:rsid w:val="0054321A"/>
    <w:rsid w:val="0054366C"/>
    <w:rsid w:val="00552281"/>
    <w:rsid w:val="0055674F"/>
    <w:rsid w:val="005608C3"/>
    <w:rsid w:val="005618F4"/>
    <w:rsid w:val="00562CC3"/>
    <w:rsid w:val="00563440"/>
    <w:rsid w:val="00575435"/>
    <w:rsid w:val="005767EF"/>
    <w:rsid w:val="00586767"/>
    <w:rsid w:val="00586C47"/>
    <w:rsid w:val="00587048"/>
    <w:rsid w:val="005A098B"/>
    <w:rsid w:val="005B38B5"/>
    <w:rsid w:val="005C04D1"/>
    <w:rsid w:val="005C777F"/>
    <w:rsid w:val="005C7C03"/>
    <w:rsid w:val="005D03F4"/>
    <w:rsid w:val="005D67E3"/>
    <w:rsid w:val="005D71E2"/>
    <w:rsid w:val="005E04C3"/>
    <w:rsid w:val="005E4EC6"/>
    <w:rsid w:val="005E6EBA"/>
    <w:rsid w:val="00645A51"/>
    <w:rsid w:val="00645EE3"/>
    <w:rsid w:val="0065060F"/>
    <w:rsid w:val="00654C55"/>
    <w:rsid w:val="0066029F"/>
    <w:rsid w:val="00660BAA"/>
    <w:rsid w:val="00671D20"/>
    <w:rsid w:val="0067793F"/>
    <w:rsid w:val="006864AB"/>
    <w:rsid w:val="00686771"/>
    <w:rsid w:val="006929C2"/>
    <w:rsid w:val="006A5F80"/>
    <w:rsid w:val="006B28CC"/>
    <w:rsid w:val="006C0DC3"/>
    <w:rsid w:val="006C3649"/>
    <w:rsid w:val="006C799F"/>
    <w:rsid w:val="006D6965"/>
    <w:rsid w:val="006E5254"/>
    <w:rsid w:val="006E692F"/>
    <w:rsid w:val="006E6D2F"/>
    <w:rsid w:val="00705166"/>
    <w:rsid w:val="00711C71"/>
    <w:rsid w:val="00712D92"/>
    <w:rsid w:val="00717D03"/>
    <w:rsid w:val="00725570"/>
    <w:rsid w:val="00730D70"/>
    <w:rsid w:val="007318A4"/>
    <w:rsid w:val="00735667"/>
    <w:rsid w:val="007451B0"/>
    <w:rsid w:val="00746A13"/>
    <w:rsid w:val="00751EBD"/>
    <w:rsid w:val="00756646"/>
    <w:rsid w:val="00774057"/>
    <w:rsid w:val="00785105"/>
    <w:rsid w:val="007D3012"/>
    <w:rsid w:val="007D4A16"/>
    <w:rsid w:val="007D5ACF"/>
    <w:rsid w:val="007D79CB"/>
    <w:rsid w:val="007E61A3"/>
    <w:rsid w:val="007E7020"/>
    <w:rsid w:val="007F479B"/>
    <w:rsid w:val="007F770F"/>
    <w:rsid w:val="008118F8"/>
    <w:rsid w:val="00814742"/>
    <w:rsid w:val="0082175A"/>
    <w:rsid w:val="00836C80"/>
    <w:rsid w:val="00843ADF"/>
    <w:rsid w:val="00851EB9"/>
    <w:rsid w:val="0085666C"/>
    <w:rsid w:val="008773FA"/>
    <w:rsid w:val="00882116"/>
    <w:rsid w:val="00885088"/>
    <w:rsid w:val="00891B6D"/>
    <w:rsid w:val="008A2858"/>
    <w:rsid w:val="008A44F9"/>
    <w:rsid w:val="008A65BC"/>
    <w:rsid w:val="008B36B1"/>
    <w:rsid w:val="008B75EA"/>
    <w:rsid w:val="008C2061"/>
    <w:rsid w:val="008C541A"/>
    <w:rsid w:val="008D739A"/>
    <w:rsid w:val="008E3C6B"/>
    <w:rsid w:val="008F0BE0"/>
    <w:rsid w:val="00921A51"/>
    <w:rsid w:val="00922FA1"/>
    <w:rsid w:val="009269D8"/>
    <w:rsid w:val="00937E12"/>
    <w:rsid w:val="00940BF3"/>
    <w:rsid w:val="00941561"/>
    <w:rsid w:val="009551F4"/>
    <w:rsid w:val="00967BB7"/>
    <w:rsid w:val="009716F2"/>
    <w:rsid w:val="00973E8B"/>
    <w:rsid w:val="00990EA7"/>
    <w:rsid w:val="009955D1"/>
    <w:rsid w:val="009A66C9"/>
    <w:rsid w:val="009B4075"/>
    <w:rsid w:val="009C128F"/>
    <w:rsid w:val="009C1DCA"/>
    <w:rsid w:val="009C3F4F"/>
    <w:rsid w:val="009C70BF"/>
    <w:rsid w:val="009D1CE1"/>
    <w:rsid w:val="009D503F"/>
    <w:rsid w:val="009F5F47"/>
    <w:rsid w:val="009F73B3"/>
    <w:rsid w:val="00A015B5"/>
    <w:rsid w:val="00A03618"/>
    <w:rsid w:val="00A03AFF"/>
    <w:rsid w:val="00A235CA"/>
    <w:rsid w:val="00A2594F"/>
    <w:rsid w:val="00A27466"/>
    <w:rsid w:val="00A50F77"/>
    <w:rsid w:val="00A61FAE"/>
    <w:rsid w:val="00A62E1C"/>
    <w:rsid w:val="00A6547E"/>
    <w:rsid w:val="00A669CA"/>
    <w:rsid w:val="00A766EF"/>
    <w:rsid w:val="00A81C74"/>
    <w:rsid w:val="00A8627F"/>
    <w:rsid w:val="00A8659C"/>
    <w:rsid w:val="00AA2718"/>
    <w:rsid w:val="00AA5610"/>
    <w:rsid w:val="00AA574A"/>
    <w:rsid w:val="00AA5CD9"/>
    <w:rsid w:val="00AA72D3"/>
    <w:rsid w:val="00AB5850"/>
    <w:rsid w:val="00AC5A1B"/>
    <w:rsid w:val="00AD1D59"/>
    <w:rsid w:val="00AE2E31"/>
    <w:rsid w:val="00AE55BF"/>
    <w:rsid w:val="00AF7BFD"/>
    <w:rsid w:val="00B022C9"/>
    <w:rsid w:val="00B11470"/>
    <w:rsid w:val="00B12D46"/>
    <w:rsid w:val="00B14F65"/>
    <w:rsid w:val="00B16FEB"/>
    <w:rsid w:val="00B27697"/>
    <w:rsid w:val="00B27A6E"/>
    <w:rsid w:val="00B31D26"/>
    <w:rsid w:val="00B37E55"/>
    <w:rsid w:val="00B43FA9"/>
    <w:rsid w:val="00B5617A"/>
    <w:rsid w:val="00B651AE"/>
    <w:rsid w:val="00B66080"/>
    <w:rsid w:val="00B66A76"/>
    <w:rsid w:val="00B67AE4"/>
    <w:rsid w:val="00B740E6"/>
    <w:rsid w:val="00B8144C"/>
    <w:rsid w:val="00B81DC7"/>
    <w:rsid w:val="00B84603"/>
    <w:rsid w:val="00B96CA6"/>
    <w:rsid w:val="00B96EDE"/>
    <w:rsid w:val="00BA7EB3"/>
    <w:rsid w:val="00BC5763"/>
    <w:rsid w:val="00BD016C"/>
    <w:rsid w:val="00BE370C"/>
    <w:rsid w:val="00BE61A0"/>
    <w:rsid w:val="00C03469"/>
    <w:rsid w:val="00C042FD"/>
    <w:rsid w:val="00C0630B"/>
    <w:rsid w:val="00C154C9"/>
    <w:rsid w:val="00C17AB8"/>
    <w:rsid w:val="00C26022"/>
    <w:rsid w:val="00C340D2"/>
    <w:rsid w:val="00C558FB"/>
    <w:rsid w:val="00C60A8A"/>
    <w:rsid w:val="00C70EEE"/>
    <w:rsid w:val="00C72F79"/>
    <w:rsid w:val="00C83B0E"/>
    <w:rsid w:val="00C84D5E"/>
    <w:rsid w:val="00C8554B"/>
    <w:rsid w:val="00C8560B"/>
    <w:rsid w:val="00C86D66"/>
    <w:rsid w:val="00CA1986"/>
    <w:rsid w:val="00CA7743"/>
    <w:rsid w:val="00CB22E3"/>
    <w:rsid w:val="00CB7831"/>
    <w:rsid w:val="00CC5185"/>
    <w:rsid w:val="00CC6437"/>
    <w:rsid w:val="00CE5F25"/>
    <w:rsid w:val="00CE6DC4"/>
    <w:rsid w:val="00CE75F6"/>
    <w:rsid w:val="00CF21C8"/>
    <w:rsid w:val="00D05134"/>
    <w:rsid w:val="00D05CC5"/>
    <w:rsid w:val="00D06382"/>
    <w:rsid w:val="00D13688"/>
    <w:rsid w:val="00D178ED"/>
    <w:rsid w:val="00D2695E"/>
    <w:rsid w:val="00D26C42"/>
    <w:rsid w:val="00D300CC"/>
    <w:rsid w:val="00D32754"/>
    <w:rsid w:val="00D35E77"/>
    <w:rsid w:val="00D3604A"/>
    <w:rsid w:val="00D36FE3"/>
    <w:rsid w:val="00D41DFF"/>
    <w:rsid w:val="00D41EE6"/>
    <w:rsid w:val="00D53F12"/>
    <w:rsid w:val="00D55C28"/>
    <w:rsid w:val="00D71F59"/>
    <w:rsid w:val="00D74D20"/>
    <w:rsid w:val="00D81F7F"/>
    <w:rsid w:val="00D85263"/>
    <w:rsid w:val="00D935A1"/>
    <w:rsid w:val="00DA0FFD"/>
    <w:rsid w:val="00DA31D3"/>
    <w:rsid w:val="00DB3A3B"/>
    <w:rsid w:val="00DB62A4"/>
    <w:rsid w:val="00DC0A45"/>
    <w:rsid w:val="00DC0A66"/>
    <w:rsid w:val="00DC1174"/>
    <w:rsid w:val="00DE423B"/>
    <w:rsid w:val="00DF00AE"/>
    <w:rsid w:val="00DF0CED"/>
    <w:rsid w:val="00DF5B6E"/>
    <w:rsid w:val="00E07560"/>
    <w:rsid w:val="00E11422"/>
    <w:rsid w:val="00E12DA3"/>
    <w:rsid w:val="00E131B2"/>
    <w:rsid w:val="00E1486A"/>
    <w:rsid w:val="00E20D36"/>
    <w:rsid w:val="00E266B8"/>
    <w:rsid w:val="00E31A6C"/>
    <w:rsid w:val="00E330C8"/>
    <w:rsid w:val="00E33A0A"/>
    <w:rsid w:val="00E41C88"/>
    <w:rsid w:val="00E50D6E"/>
    <w:rsid w:val="00E61DD9"/>
    <w:rsid w:val="00E63618"/>
    <w:rsid w:val="00E70208"/>
    <w:rsid w:val="00E70D25"/>
    <w:rsid w:val="00E7294B"/>
    <w:rsid w:val="00E77516"/>
    <w:rsid w:val="00E81718"/>
    <w:rsid w:val="00E855B7"/>
    <w:rsid w:val="00EA528B"/>
    <w:rsid w:val="00EA5E45"/>
    <w:rsid w:val="00EB23E6"/>
    <w:rsid w:val="00EC303B"/>
    <w:rsid w:val="00EC61CD"/>
    <w:rsid w:val="00EE05AC"/>
    <w:rsid w:val="00EF15F0"/>
    <w:rsid w:val="00EF27CD"/>
    <w:rsid w:val="00F16414"/>
    <w:rsid w:val="00F239B4"/>
    <w:rsid w:val="00F25577"/>
    <w:rsid w:val="00F26417"/>
    <w:rsid w:val="00F265E9"/>
    <w:rsid w:val="00F30BB9"/>
    <w:rsid w:val="00F336D5"/>
    <w:rsid w:val="00F431BA"/>
    <w:rsid w:val="00F52260"/>
    <w:rsid w:val="00F55253"/>
    <w:rsid w:val="00F5588C"/>
    <w:rsid w:val="00F55DE1"/>
    <w:rsid w:val="00F72E5B"/>
    <w:rsid w:val="00F757C6"/>
    <w:rsid w:val="00F812A8"/>
    <w:rsid w:val="00F831F6"/>
    <w:rsid w:val="00F9231F"/>
    <w:rsid w:val="00FA0B1B"/>
    <w:rsid w:val="00FA38EC"/>
    <w:rsid w:val="00FB5436"/>
    <w:rsid w:val="00FC4345"/>
    <w:rsid w:val="00FD0E34"/>
    <w:rsid w:val="00FD382F"/>
    <w:rsid w:val="00FD39A7"/>
    <w:rsid w:val="00FE0E53"/>
    <w:rsid w:val="00FE5DA5"/>
    <w:rsid w:val="00FF3AC9"/>
    <w:rsid w:val="338AFA1F"/>
    <w:rsid w:val="52AC6646"/>
    <w:rsid w:val="53F45E20"/>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BC526C"/>
  <w15:chartTrackingRefBased/>
  <w15:docId w15:val="{08DACC9A-477B-224E-941E-AC6CFFD962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A7D4C"/>
    <w:pPr>
      <w:spacing w:after="240" w:line="252" w:lineRule="auto"/>
    </w:pPr>
  </w:style>
  <w:style w:type="paragraph" w:styleId="Heading1">
    <w:name w:val="heading 1"/>
    <w:basedOn w:val="Normal"/>
    <w:next w:val="Normal"/>
    <w:link w:val="Heading1Char"/>
    <w:uiPriority w:val="9"/>
    <w:qFormat/>
    <w:rsid w:val="0055674F"/>
    <w:pPr>
      <w:keepNext/>
      <w:keepLines/>
      <w:spacing w:before="480" w:after="120" w:line="216" w:lineRule="auto"/>
      <w:outlineLvl w:val="0"/>
    </w:pPr>
    <w:rPr>
      <w:rFonts w:ascii="IBM Plex Sans SemiBold" w:eastAsiaTheme="majorEastAsia" w:hAnsi="IBM Plex Sans SemiBold" w:cstheme="majorBidi"/>
      <w:color w:val="E13446" w:themeColor="accent1"/>
      <w:sz w:val="32"/>
      <w:szCs w:val="32"/>
    </w:rPr>
  </w:style>
  <w:style w:type="paragraph" w:styleId="Heading2">
    <w:name w:val="heading 2"/>
    <w:basedOn w:val="Normal"/>
    <w:next w:val="Normal"/>
    <w:link w:val="Heading2Char"/>
    <w:uiPriority w:val="9"/>
    <w:unhideWhenUsed/>
    <w:qFormat/>
    <w:rsid w:val="00575435"/>
    <w:pPr>
      <w:keepNext/>
      <w:keepLines/>
      <w:spacing w:before="480" w:after="120" w:line="216" w:lineRule="auto"/>
      <w:outlineLvl w:val="1"/>
    </w:pPr>
    <w:rPr>
      <w:rFonts w:asciiTheme="majorHAnsi" w:eastAsiaTheme="majorEastAsia" w:hAnsiTheme="majorHAnsi" w:cstheme="majorBidi"/>
      <w:color w:val="E13446" w:themeColor="accent1"/>
      <w:sz w:val="28"/>
      <w:szCs w:val="26"/>
    </w:rPr>
  </w:style>
  <w:style w:type="paragraph" w:styleId="Heading3">
    <w:name w:val="heading 3"/>
    <w:basedOn w:val="Normal"/>
    <w:next w:val="Normal"/>
    <w:link w:val="Heading3Char"/>
    <w:uiPriority w:val="9"/>
    <w:unhideWhenUsed/>
    <w:qFormat/>
    <w:rsid w:val="009D503F"/>
    <w:pPr>
      <w:keepNext/>
      <w:keepLines/>
      <w:spacing w:before="360" w:after="40" w:line="216" w:lineRule="auto"/>
      <w:outlineLvl w:val="2"/>
    </w:pPr>
    <w:rPr>
      <w:rFonts w:ascii="IBM Plex Sans SemiBold" w:eastAsiaTheme="majorEastAsia" w:hAnsi="IBM Plex Sans SemiBold" w:cs="Times New Roman (Headings CS)"/>
      <w:b/>
      <w:caps/>
      <w:color w:val="E13446" w:themeColor="accent1"/>
      <w:spacing w:val="15"/>
      <w:sz w:val="24"/>
      <w:szCs w:val="24"/>
    </w:rPr>
  </w:style>
  <w:style w:type="paragraph" w:styleId="Heading4">
    <w:name w:val="heading 4"/>
    <w:basedOn w:val="Normal"/>
    <w:next w:val="Normal"/>
    <w:link w:val="Heading4Char"/>
    <w:uiPriority w:val="9"/>
    <w:unhideWhenUsed/>
    <w:qFormat/>
    <w:rsid w:val="009D503F"/>
    <w:pPr>
      <w:keepNext/>
      <w:keepLines/>
      <w:spacing w:before="360" w:after="40" w:line="216" w:lineRule="auto"/>
      <w:outlineLvl w:val="3"/>
    </w:pPr>
    <w:rPr>
      <w:rFonts w:asciiTheme="majorHAnsi" w:eastAsiaTheme="majorEastAsia" w:hAnsiTheme="majorHAnsi" w:cs="Times New Roman (Headings CS)"/>
      <w:iCs/>
      <w:sz w:val="24"/>
    </w:rPr>
  </w:style>
  <w:style w:type="paragraph" w:styleId="Heading5">
    <w:name w:val="heading 5"/>
    <w:basedOn w:val="Normal"/>
    <w:next w:val="Normal"/>
    <w:link w:val="Heading5Char"/>
    <w:uiPriority w:val="9"/>
    <w:semiHidden/>
    <w:unhideWhenUsed/>
    <w:qFormat/>
    <w:rsid w:val="008D739A"/>
    <w:pPr>
      <w:keepNext/>
      <w:keepLines/>
      <w:spacing w:before="40" w:after="0"/>
      <w:outlineLvl w:val="4"/>
    </w:pPr>
    <w:rPr>
      <w:rFonts w:asciiTheme="majorHAnsi" w:eastAsiaTheme="majorEastAsia" w:hAnsiTheme="majorHAnsi" w:cstheme="majorBidi"/>
      <w:color w:val="000000" w:themeColor="text1"/>
    </w:rPr>
  </w:style>
  <w:style w:type="paragraph" w:styleId="Heading6">
    <w:name w:val="heading 6"/>
    <w:basedOn w:val="Normal"/>
    <w:next w:val="Normal"/>
    <w:link w:val="Heading6Char"/>
    <w:uiPriority w:val="9"/>
    <w:semiHidden/>
    <w:unhideWhenUsed/>
    <w:qFormat/>
    <w:rsid w:val="00052B3F"/>
    <w:pPr>
      <w:keepNext/>
      <w:keepLines/>
      <w:spacing w:before="40" w:after="0" w:line="240" w:lineRule="auto"/>
      <w:outlineLvl w:val="5"/>
    </w:pPr>
    <w:rPr>
      <w:rFonts w:ascii="Times New Roman" w:eastAsiaTheme="majorEastAsia" w:hAnsi="Times New Roman" w:cstheme="majorBidi"/>
      <w:i/>
      <w:iCs/>
      <w:color w:val="595959" w:themeColor="text1" w:themeTint="A6"/>
      <w:sz w:val="24"/>
      <w:szCs w:val="24"/>
    </w:rPr>
  </w:style>
  <w:style w:type="paragraph" w:styleId="Heading7">
    <w:name w:val="heading 7"/>
    <w:basedOn w:val="Normal"/>
    <w:next w:val="Normal"/>
    <w:link w:val="Heading7Char"/>
    <w:uiPriority w:val="9"/>
    <w:semiHidden/>
    <w:unhideWhenUsed/>
    <w:qFormat/>
    <w:rsid w:val="00052B3F"/>
    <w:pPr>
      <w:keepNext/>
      <w:keepLines/>
      <w:spacing w:before="40" w:after="0" w:line="240" w:lineRule="auto"/>
      <w:outlineLvl w:val="6"/>
    </w:pPr>
    <w:rPr>
      <w:rFonts w:ascii="Times New Roman" w:eastAsiaTheme="majorEastAsia" w:hAnsi="Times New Roman" w:cstheme="majorBidi"/>
      <w:color w:val="595959" w:themeColor="text1" w:themeTint="A6"/>
      <w:sz w:val="24"/>
      <w:szCs w:val="24"/>
    </w:rPr>
  </w:style>
  <w:style w:type="paragraph" w:styleId="Heading8">
    <w:name w:val="heading 8"/>
    <w:basedOn w:val="Normal"/>
    <w:next w:val="Normal"/>
    <w:link w:val="Heading8Char"/>
    <w:uiPriority w:val="9"/>
    <w:semiHidden/>
    <w:unhideWhenUsed/>
    <w:qFormat/>
    <w:rsid w:val="00052B3F"/>
    <w:pPr>
      <w:keepNext/>
      <w:keepLines/>
      <w:spacing w:after="0" w:line="240" w:lineRule="auto"/>
      <w:outlineLvl w:val="7"/>
    </w:pPr>
    <w:rPr>
      <w:rFonts w:ascii="Times New Roman" w:eastAsiaTheme="majorEastAsia" w:hAnsi="Times New Roman" w:cstheme="majorBidi"/>
      <w:i/>
      <w:iCs/>
      <w:color w:val="272727" w:themeColor="text1" w:themeTint="D8"/>
      <w:sz w:val="24"/>
      <w:szCs w:val="24"/>
    </w:rPr>
  </w:style>
  <w:style w:type="paragraph" w:styleId="Heading9">
    <w:name w:val="heading 9"/>
    <w:basedOn w:val="Normal"/>
    <w:next w:val="Normal"/>
    <w:link w:val="Heading9Char"/>
    <w:uiPriority w:val="9"/>
    <w:semiHidden/>
    <w:unhideWhenUsed/>
    <w:qFormat/>
    <w:rsid w:val="00052B3F"/>
    <w:pPr>
      <w:keepNext/>
      <w:keepLines/>
      <w:spacing w:after="0" w:line="240" w:lineRule="auto"/>
      <w:outlineLvl w:val="8"/>
    </w:pPr>
    <w:rPr>
      <w:rFonts w:ascii="Times New Roman" w:eastAsiaTheme="majorEastAsia" w:hAnsi="Times New Roman" w:cstheme="majorBidi"/>
      <w:color w:val="272727" w:themeColor="text1" w:themeTint="D8"/>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5674F"/>
    <w:rPr>
      <w:rFonts w:ascii="IBM Plex Sans SemiBold" w:eastAsiaTheme="majorEastAsia" w:hAnsi="IBM Plex Sans SemiBold" w:cstheme="majorBidi"/>
      <w:color w:val="E13446" w:themeColor="accent1"/>
      <w:sz w:val="32"/>
      <w:szCs w:val="32"/>
    </w:rPr>
  </w:style>
  <w:style w:type="character" w:customStyle="1" w:styleId="Heading2Char">
    <w:name w:val="Heading 2 Char"/>
    <w:basedOn w:val="DefaultParagraphFont"/>
    <w:link w:val="Heading2"/>
    <w:uiPriority w:val="9"/>
    <w:rsid w:val="00575435"/>
    <w:rPr>
      <w:rFonts w:asciiTheme="majorHAnsi" w:eastAsiaTheme="majorEastAsia" w:hAnsiTheme="majorHAnsi" w:cstheme="majorBidi"/>
      <w:color w:val="E13446" w:themeColor="accent1"/>
      <w:sz w:val="28"/>
      <w:szCs w:val="26"/>
    </w:rPr>
  </w:style>
  <w:style w:type="character" w:customStyle="1" w:styleId="Heading3Char">
    <w:name w:val="Heading 3 Char"/>
    <w:basedOn w:val="DefaultParagraphFont"/>
    <w:link w:val="Heading3"/>
    <w:uiPriority w:val="9"/>
    <w:rsid w:val="009D503F"/>
    <w:rPr>
      <w:rFonts w:ascii="IBM Plex Sans SemiBold" w:eastAsiaTheme="majorEastAsia" w:hAnsi="IBM Plex Sans SemiBold" w:cs="Times New Roman (Headings CS)"/>
      <w:b/>
      <w:caps/>
      <w:color w:val="E13446" w:themeColor="accent1"/>
      <w:spacing w:val="15"/>
      <w:sz w:val="24"/>
      <w:szCs w:val="24"/>
    </w:rPr>
  </w:style>
  <w:style w:type="paragraph" w:styleId="Title">
    <w:name w:val="Title"/>
    <w:basedOn w:val="Normal"/>
    <w:next w:val="Normal"/>
    <w:link w:val="TitleChar"/>
    <w:uiPriority w:val="10"/>
    <w:qFormat/>
    <w:rsid w:val="00F9231F"/>
    <w:pPr>
      <w:spacing w:after="0" w:line="240" w:lineRule="auto"/>
      <w:contextualSpacing/>
    </w:pPr>
    <w:rPr>
      <w:rFonts w:asciiTheme="majorHAnsi" w:eastAsiaTheme="majorEastAsia" w:hAnsiTheme="majorHAnsi" w:cstheme="majorBidi"/>
      <w:color w:val="E13446" w:themeColor="accent1"/>
      <w:spacing w:val="-10"/>
      <w:kern w:val="28"/>
      <w:sz w:val="56"/>
      <w:szCs w:val="56"/>
    </w:rPr>
  </w:style>
  <w:style w:type="character" w:customStyle="1" w:styleId="TitleChar">
    <w:name w:val="Title Char"/>
    <w:basedOn w:val="DefaultParagraphFont"/>
    <w:link w:val="Title"/>
    <w:uiPriority w:val="10"/>
    <w:rsid w:val="00F9231F"/>
    <w:rPr>
      <w:rFonts w:asciiTheme="majorHAnsi" w:eastAsiaTheme="majorEastAsia" w:hAnsiTheme="majorHAnsi" w:cstheme="majorBidi"/>
      <w:color w:val="E13446" w:themeColor="accent1"/>
      <w:spacing w:val="-10"/>
      <w:kern w:val="28"/>
      <w:sz w:val="56"/>
      <w:szCs w:val="56"/>
    </w:rPr>
  </w:style>
  <w:style w:type="paragraph" w:styleId="TOCHeading">
    <w:name w:val="TOC Heading"/>
    <w:basedOn w:val="Heading1"/>
    <w:next w:val="Normal"/>
    <w:uiPriority w:val="39"/>
    <w:unhideWhenUsed/>
    <w:qFormat/>
    <w:rsid w:val="00D81F7F"/>
    <w:pPr>
      <w:outlineLvl w:val="9"/>
    </w:pPr>
    <w:rPr>
      <w:lang w:val="en-US"/>
    </w:rPr>
  </w:style>
  <w:style w:type="paragraph" w:styleId="TOC1">
    <w:name w:val="toc 1"/>
    <w:basedOn w:val="Normal"/>
    <w:next w:val="Normal"/>
    <w:uiPriority w:val="39"/>
    <w:unhideWhenUsed/>
    <w:rsid w:val="00A62E1C"/>
    <w:pPr>
      <w:spacing w:after="100"/>
    </w:pPr>
  </w:style>
  <w:style w:type="paragraph" w:styleId="TOC2">
    <w:name w:val="toc 2"/>
    <w:basedOn w:val="Normal"/>
    <w:next w:val="Normal"/>
    <w:autoRedefine/>
    <w:uiPriority w:val="39"/>
    <w:unhideWhenUsed/>
    <w:rsid w:val="00A62E1C"/>
    <w:pPr>
      <w:spacing w:after="100"/>
      <w:ind w:left="220"/>
    </w:pPr>
  </w:style>
  <w:style w:type="paragraph" w:styleId="TOC3">
    <w:name w:val="toc 3"/>
    <w:basedOn w:val="Normal"/>
    <w:next w:val="Normal"/>
    <w:autoRedefine/>
    <w:uiPriority w:val="39"/>
    <w:unhideWhenUsed/>
    <w:rsid w:val="00A62E1C"/>
    <w:pPr>
      <w:spacing w:after="100"/>
      <w:ind w:left="440"/>
    </w:pPr>
  </w:style>
  <w:style w:type="character" w:styleId="Hyperlink">
    <w:name w:val="Hyperlink"/>
    <w:basedOn w:val="DefaultParagraphFont"/>
    <w:uiPriority w:val="99"/>
    <w:unhideWhenUsed/>
    <w:rsid w:val="00A62E1C"/>
    <w:rPr>
      <w:color w:val="E21E38" w:themeColor="hyperlink"/>
      <w:u w:val="single"/>
    </w:rPr>
  </w:style>
  <w:style w:type="paragraph" w:styleId="ListParagraph">
    <w:name w:val="List Paragraph"/>
    <w:basedOn w:val="Normal"/>
    <w:uiPriority w:val="34"/>
    <w:qFormat/>
    <w:rsid w:val="00D05134"/>
    <w:pPr>
      <w:ind w:left="720"/>
      <w:contextualSpacing/>
    </w:pPr>
  </w:style>
  <w:style w:type="numbering" w:customStyle="1" w:styleId="YorkBulletedList">
    <w:name w:val="York Bulleted List"/>
    <w:uiPriority w:val="99"/>
    <w:rsid w:val="008D739A"/>
    <w:pPr>
      <w:numPr>
        <w:numId w:val="1"/>
      </w:numPr>
    </w:pPr>
  </w:style>
  <w:style w:type="paragraph" w:styleId="Caption">
    <w:name w:val="caption"/>
    <w:basedOn w:val="Normal"/>
    <w:next w:val="Normal"/>
    <w:uiPriority w:val="35"/>
    <w:unhideWhenUsed/>
    <w:qFormat/>
    <w:rsid w:val="00FC4345"/>
    <w:pPr>
      <w:spacing w:after="120" w:line="216" w:lineRule="auto"/>
    </w:pPr>
    <w:rPr>
      <w:rFonts w:ascii="IBM Plex Serif Light" w:hAnsi="IBM Plex Serif Light" w:cs="Times New Roman (Body CS)"/>
      <w:iCs/>
      <w:sz w:val="18"/>
      <w:szCs w:val="18"/>
    </w:rPr>
  </w:style>
  <w:style w:type="paragraph" w:styleId="Quote">
    <w:name w:val="Quote"/>
    <w:basedOn w:val="Normal"/>
    <w:next w:val="Normal"/>
    <w:link w:val="QuoteChar"/>
    <w:uiPriority w:val="29"/>
    <w:qFormat/>
    <w:rsid w:val="002E5DFC"/>
    <w:pPr>
      <w:spacing w:before="200"/>
      <w:ind w:left="864" w:right="864"/>
      <w:jc w:val="center"/>
    </w:pPr>
    <w:rPr>
      <w:rFonts w:ascii="IBM Plex Serif Light" w:hAnsi="IBM Plex Serif Light"/>
      <w:iCs/>
      <w:color w:val="404040" w:themeColor="text1" w:themeTint="BF"/>
    </w:rPr>
  </w:style>
  <w:style w:type="character" w:customStyle="1" w:styleId="QuoteChar">
    <w:name w:val="Quote Char"/>
    <w:basedOn w:val="DefaultParagraphFont"/>
    <w:link w:val="Quote"/>
    <w:uiPriority w:val="29"/>
    <w:rsid w:val="002E5DFC"/>
    <w:rPr>
      <w:rFonts w:ascii="IBM Plex Serif Light" w:hAnsi="IBM Plex Serif Light"/>
      <w:iCs/>
      <w:color w:val="404040" w:themeColor="text1" w:themeTint="BF"/>
    </w:rPr>
  </w:style>
  <w:style w:type="character" w:customStyle="1" w:styleId="Heading4Char">
    <w:name w:val="Heading 4 Char"/>
    <w:basedOn w:val="DefaultParagraphFont"/>
    <w:link w:val="Heading4"/>
    <w:uiPriority w:val="9"/>
    <w:rsid w:val="009D503F"/>
    <w:rPr>
      <w:rFonts w:asciiTheme="majorHAnsi" w:eastAsiaTheme="majorEastAsia" w:hAnsiTheme="majorHAnsi" w:cs="Times New Roman (Headings CS)"/>
      <w:iCs/>
      <w:sz w:val="24"/>
    </w:rPr>
  </w:style>
  <w:style w:type="paragraph" w:styleId="Subtitle">
    <w:name w:val="Subtitle"/>
    <w:basedOn w:val="Normal"/>
    <w:next w:val="Normal"/>
    <w:link w:val="SubtitleChar"/>
    <w:uiPriority w:val="11"/>
    <w:qFormat/>
    <w:rsid w:val="00E41C88"/>
    <w:pPr>
      <w:numPr>
        <w:ilvl w:val="1"/>
      </w:numPr>
    </w:pPr>
    <w:rPr>
      <w:rFonts w:asciiTheme="majorHAnsi" w:eastAsiaTheme="minorEastAsia" w:hAnsiTheme="majorHAnsi" w:cs="Times New Roman (Body CS)"/>
      <w:caps/>
      <w:color w:val="262626" w:themeColor="text1" w:themeTint="D9"/>
      <w:spacing w:val="14"/>
      <w:sz w:val="24"/>
    </w:rPr>
  </w:style>
  <w:style w:type="character" w:customStyle="1" w:styleId="SubtitleChar">
    <w:name w:val="Subtitle Char"/>
    <w:basedOn w:val="DefaultParagraphFont"/>
    <w:link w:val="Subtitle"/>
    <w:uiPriority w:val="11"/>
    <w:rsid w:val="00E41C88"/>
    <w:rPr>
      <w:rFonts w:asciiTheme="majorHAnsi" w:eastAsiaTheme="minorEastAsia" w:hAnsiTheme="majorHAnsi" w:cs="Times New Roman (Body CS)"/>
      <w:caps/>
      <w:color w:val="262626" w:themeColor="text1" w:themeTint="D9"/>
      <w:spacing w:val="14"/>
      <w:sz w:val="24"/>
    </w:rPr>
  </w:style>
  <w:style w:type="paragraph" w:styleId="IntenseQuote">
    <w:name w:val="Intense Quote"/>
    <w:basedOn w:val="Normal"/>
    <w:next w:val="Normal"/>
    <w:link w:val="IntenseQuoteChar"/>
    <w:uiPriority w:val="30"/>
    <w:qFormat/>
    <w:rsid w:val="003465F6"/>
    <w:pPr>
      <w:pBdr>
        <w:top w:val="single" w:sz="4" w:space="10" w:color="E13446" w:themeColor="accent1"/>
        <w:bottom w:val="single" w:sz="4" w:space="10" w:color="E13446" w:themeColor="accent1"/>
      </w:pBdr>
      <w:spacing w:before="360" w:after="360"/>
      <w:ind w:left="864" w:right="864"/>
      <w:jc w:val="center"/>
    </w:pPr>
    <w:rPr>
      <w:rFonts w:ascii="IBM Plex Serif" w:hAnsi="IBM Plex Serif"/>
      <w:iCs/>
      <w:color w:val="E13446" w:themeColor="accent1"/>
    </w:rPr>
  </w:style>
  <w:style w:type="character" w:customStyle="1" w:styleId="IntenseQuoteChar">
    <w:name w:val="Intense Quote Char"/>
    <w:basedOn w:val="DefaultParagraphFont"/>
    <w:link w:val="IntenseQuote"/>
    <w:uiPriority w:val="30"/>
    <w:rsid w:val="003465F6"/>
    <w:rPr>
      <w:rFonts w:ascii="IBM Plex Serif" w:hAnsi="IBM Plex Serif"/>
      <w:iCs/>
      <w:color w:val="E13446" w:themeColor="accent1"/>
    </w:rPr>
  </w:style>
  <w:style w:type="paragraph" w:customStyle="1" w:styleId="LongQuote">
    <w:name w:val="Long Quote"/>
    <w:basedOn w:val="Normal"/>
    <w:next w:val="Normal"/>
    <w:qFormat/>
    <w:rsid w:val="00C60A8A"/>
    <w:pPr>
      <w:ind w:left="720" w:right="720"/>
    </w:pPr>
    <w:rPr>
      <w:rFonts w:ascii="IBM Plex Serif Light" w:hAnsi="IBM Plex Serif Light"/>
      <w:noProof/>
    </w:rPr>
  </w:style>
  <w:style w:type="character" w:customStyle="1" w:styleId="Heading5Char">
    <w:name w:val="Heading 5 Char"/>
    <w:basedOn w:val="DefaultParagraphFont"/>
    <w:link w:val="Heading5"/>
    <w:uiPriority w:val="9"/>
    <w:semiHidden/>
    <w:rsid w:val="008D739A"/>
    <w:rPr>
      <w:rFonts w:asciiTheme="majorHAnsi" w:eastAsiaTheme="majorEastAsia" w:hAnsiTheme="majorHAnsi" w:cstheme="majorBidi"/>
      <w:color w:val="000000" w:themeColor="text1"/>
    </w:rPr>
  </w:style>
  <w:style w:type="character" w:styleId="Strong">
    <w:name w:val="Strong"/>
    <w:basedOn w:val="DefaultParagraphFont"/>
    <w:uiPriority w:val="22"/>
    <w:qFormat/>
    <w:rsid w:val="00C83B0E"/>
    <w:rPr>
      <w:rFonts w:ascii="IBM Plex Sans SemiBold" w:hAnsi="IBM Plex Sans SemiBold"/>
      <w:b w:val="0"/>
      <w:bCs/>
    </w:rPr>
  </w:style>
  <w:style w:type="character" w:styleId="SubtleEmphasis">
    <w:name w:val="Subtle Emphasis"/>
    <w:basedOn w:val="DefaultParagraphFont"/>
    <w:uiPriority w:val="19"/>
    <w:qFormat/>
    <w:rsid w:val="00D36FE3"/>
    <w:rPr>
      <w:i/>
      <w:iCs/>
      <w:color w:val="404040" w:themeColor="text1" w:themeTint="BF"/>
    </w:rPr>
  </w:style>
  <w:style w:type="character" w:styleId="Emphasis">
    <w:name w:val="Emphasis"/>
    <w:basedOn w:val="DefaultParagraphFont"/>
    <w:uiPriority w:val="20"/>
    <w:qFormat/>
    <w:rsid w:val="00D36FE3"/>
    <w:rPr>
      <w:i/>
      <w:iCs/>
    </w:rPr>
  </w:style>
  <w:style w:type="character" w:styleId="IntenseEmphasis">
    <w:name w:val="Intense Emphasis"/>
    <w:basedOn w:val="DefaultParagraphFont"/>
    <w:uiPriority w:val="21"/>
    <w:qFormat/>
    <w:rsid w:val="00E20D36"/>
    <w:rPr>
      <w:b/>
      <w:i/>
      <w:iCs/>
      <w:color w:val="E13446" w:themeColor="accent1"/>
    </w:rPr>
  </w:style>
  <w:style w:type="character" w:styleId="SubtleReference">
    <w:name w:val="Subtle Reference"/>
    <w:basedOn w:val="DefaultParagraphFont"/>
    <w:uiPriority w:val="31"/>
    <w:qFormat/>
    <w:rsid w:val="007451B0"/>
    <w:rPr>
      <w:caps/>
      <w:smallCaps w:val="0"/>
      <w:color w:val="5A5A5A" w:themeColor="text1" w:themeTint="A5"/>
      <w:lang w:val="fr-CA"/>
    </w:rPr>
  </w:style>
  <w:style w:type="character" w:styleId="IntenseReference">
    <w:name w:val="Intense Reference"/>
    <w:basedOn w:val="DefaultParagraphFont"/>
    <w:uiPriority w:val="32"/>
    <w:qFormat/>
    <w:rsid w:val="007451B0"/>
    <w:rPr>
      <w:b/>
      <w:bCs/>
      <w:caps/>
      <w:smallCaps w:val="0"/>
      <w:color w:val="E13446" w:themeColor="accent1"/>
      <w:spacing w:val="5"/>
    </w:rPr>
  </w:style>
  <w:style w:type="character" w:styleId="BookTitle">
    <w:name w:val="Book Title"/>
    <w:basedOn w:val="DefaultParagraphFont"/>
    <w:uiPriority w:val="33"/>
    <w:qFormat/>
    <w:rsid w:val="007F770F"/>
    <w:rPr>
      <w:rFonts w:ascii="IBM Plex Sans Medium" w:hAnsi="IBM Plex Sans Medium"/>
      <w:b w:val="0"/>
      <w:bCs/>
      <w:i/>
      <w:iCs/>
      <w:spacing w:val="5"/>
    </w:rPr>
  </w:style>
  <w:style w:type="paragraph" w:styleId="NoSpacing">
    <w:name w:val="No Spacing"/>
    <w:uiPriority w:val="1"/>
    <w:qFormat/>
    <w:rsid w:val="00242AC5"/>
    <w:pPr>
      <w:spacing w:after="0" w:line="240" w:lineRule="auto"/>
    </w:pPr>
  </w:style>
  <w:style w:type="table" w:styleId="TableGrid">
    <w:name w:val="Table Grid"/>
    <w:basedOn w:val="TableNormal"/>
    <w:uiPriority w:val="39"/>
    <w:rsid w:val="000017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235251"/>
    <w:pPr>
      <w:spacing w:after="0" w:line="216" w:lineRule="auto"/>
      <w:contextualSpacing/>
    </w:pPr>
    <w:rPr>
      <w:sz w:val="20"/>
    </w:rPr>
    <w:tblPr>
      <w:tblStyleRowBandSize w:val="1"/>
      <w:tblStyleColBandSize w:val="1"/>
      <w:tblBorders>
        <w:top w:val="single" w:sz="4" w:space="0" w:color="686361" w:themeColor="accent2"/>
        <w:left w:val="single" w:sz="4" w:space="0" w:color="686361" w:themeColor="accent2"/>
        <w:bottom w:val="single" w:sz="4" w:space="0" w:color="686361" w:themeColor="accent2"/>
        <w:right w:val="single" w:sz="4" w:space="0" w:color="686361" w:themeColor="accent2"/>
        <w:insideH w:val="single" w:sz="6" w:space="0" w:color="686361" w:themeColor="accent2"/>
        <w:insideV w:val="single" w:sz="6" w:space="0" w:color="686361" w:themeColor="accent2"/>
      </w:tblBorders>
      <w:tblCellMar>
        <w:top w:w="108" w:type="dxa"/>
      </w:tblCellMar>
    </w:tblPr>
    <w:trPr>
      <w:cantSplit/>
    </w:trPr>
    <w:tcPr>
      <w:tcMar>
        <w:top w:w="108" w:type="dxa"/>
        <w:bottom w:w="113" w:type="dxa"/>
      </w:tcMar>
      <w:vAlign w:val="center"/>
    </w:tcPr>
    <w:tblStylePr w:type="firstRow">
      <w:rPr>
        <w:rFonts w:asciiTheme="majorHAnsi" w:hAnsiTheme="majorHAnsi"/>
        <w:b w:val="0"/>
        <w:bCs/>
        <w:color w:val="FFFFFF" w:themeColor="background1"/>
      </w:rPr>
      <w:tblPr/>
      <w:trPr>
        <w:cantSplit w:val="0"/>
        <w:tblHeader/>
      </w:trPr>
      <w:tcPr>
        <w:shd w:val="clear" w:color="auto" w:fill="E13446" w:themeFill="accent1"/>
      </w:tcPr>
    </w:tblStylePr>
    <w:tblStylePr w:type="lastRow">
      <w:rPr>
        <w:rFonts w:asciiTheme="majorHAnsi" w:hAnsiTheme="majorHAnsi"/>
        <w:b w:val="0"/>
        <w:bCs/>
      </w:rPr>
      <w:tblPr/>
      <w:tcPr>
        <w:tcBorders>
          <w:top w:val="double" w:sz="4" w:space="0" w:color="E13446" w:themeColor="accent1"/>
        </w:tcBorders>
        <w:shd w:val="clear" w:color="auto" w:fill="FFFFFF" w:themeFill="background1"/>
      </w:tcPr>
    </w:tblStylePr>
    <w:tblStylePr w:type="firstCol">
      <w:rPr>
        <w:rFonts w:asciiTheme="majorHAnsi" w:hAnsiTheme="majorHAnsi"/>
        <w:b w:val="0"/>
        <w:bCs/>
      </w:rPr>
      <w:tblPr/>
      <w:tcPr>
        <w:tcBorders>
          <w:right w:val="nil"/>
        </w:tcBorders>
        <w:shd w:val="clear" w:color="auto" w:fill="FFFFFF" w:themeFill="background1"/>
      </w:tcPr>
    </w:tblStylePr>
    <w:tblStylePr w:type="lastCol">
      <w:rPr>
        <w:b w:val="0"/>
        <w:bCs/>
      </w:rPr>
      <w:tblPr/>
      <w:tcPr>
        <w:tcBorders>
          <w:left w:val="nil"/>
        </w:tcBorders>
        <w:shd w:val="clear" w:color="auto" w:fill="FFFFFF" w:themeFill="background1"/>
      </w:tcPr>
    </w:tblStylePr>
    <w:tblStylePr w:type="band1Vert">
      <w:tblPr/>
      <w:tcPr>
        <w:tcBorders>
          <w:left w:val="single" w:sz="4" w:space="0" w:color="auto"/>
          <w:right w:val="single" w:sz="4" w:space="0" w:color="auto"/>
        </w:tcBorders>
      </w:tcPr>
    </w:tblStylePr>
    <w:tblStylePr w:type="band1Horz">
      <w:tblPr/>
      <w:tcPr>
        <w:tcBorders>
          <w:top w:val="single" w:sz="4" w:space="0" w:color="auto"/>
          <w:bottom w:val="single" w:sz="4" w:space="0" w:color="auto"/>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E13446" w:themeColor="accent1"/>
          <w:left w:val="nil"/>
        </w:tcBorders>
      </w:tcPr>
    </w:tblStylePr>
    <w:tblStylePr w:type="swCell">
      <w:tblPr/>
      <w:tcPr>
        <w:tcBorders>
          <w:top w:val="double" w:sz="4" w:space="0" w:color="E13446" w:themeColor="accent1"/>
          <w:right w:val="nil"/>
        </w:tcBorders>
      </w:tcPr>
    </w:tblStylePr>
  </w:style>
  <w:style w:type="table" w:styleId="ListTable3">
    <w:name w:val="List Table 3"/>
    <w:basedOn w:val="TableNormal"/>
    <w:uiPriority w:val="48"/>
    <w:rsid w:val="004359B0"/>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b/>
        <w:bCs/>
        <w:color w:val="FFFFFF" w:themeColor="background1"/>
      </w:rPr>
      <w:tblPr/>
      <w:tcPr>
        <w:shd w:val="clear" w:color="auto" w:fill="000000" w:themeFill="text1"/>
      </w:tcPr>
    </w:tblStylePr>
    <w:tblStylePr w:type="lastRow">
      <w:rPr>
        <w:b/>
        <w:bCs/>
      </w:rPr>
      <w:tblPr/>
      <w:tcPr>
        <w:tcBorders>
          <w:top w:val="double" w:sz="4" w:space="0" w:color="000000" w:themeColor="tex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0000" w:themeColor="text1"/>
          <w:left w:val="nil"/>
        </w:tcBorders>
      </w:tcPr>
    </w:tblStylePr>
    <w:tblStylePr w:type="swCell">
      <w:tblPr/>
      <w:tcPr>
        <w:tcBorders>
          <w:top w:val="double" w:sz="4" w:space="0" w:color="000000" w:themeColor="text1"/>
          <w:right w:val="nil"/>
        </w:tcBorders>
      </w:tcPr>
    </w:tblStylePr>
  </w:style>
  <w:style w:type="table" w:styleId="PlainTable1">
    <w:name w:val="Plain Table 1"/>
    <w:basedOn w:val="TableNormal"/>
    <w:uiPriority w:val="41"/>
    <w:rsid w:val="006C0DC3"/>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2">
    <w:name w:val="Plain Table 2"/>
    <w:basedOn w:val="TableNormal"/>
    <w:uiPriority w:val="42"/>
    <w:rsid w:val="006C0DC3"/>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styleId="Header">
    <w:name w:val="header"/>
    <w:basedOn w:val="Normal"/>
    <w:link w:val="HeaderChar"/>
    <w:uiPriority w:val="99"/>
    <w:unhideWhenUsed/>
    <w:rsid w:val="00D55C2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55C28"/>
  </w:style>
  <w:style w:type="paragraph" w:styleId="Footer">
    <w:name w:val="footer"/>
    <w:basedOn w:val="Normal"/>
    <w:link w:val="FooterChar"/>
    <w:uiPriority w:val="99"/>
    <w:unhideWhenUsed/>
    <w:rsid w:val="00D55C2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55C28"/>
  </w:style>
  <w:style w:type="paragraph" w:styleId="FootnoteText">
    <w:name w:val="footnote text"/>
    <w:basedOn w:val="Normal"/>
    <w:link w:val="FootnoteTextChar"/>
    <w:uiPriority w:val="99"/>
    <w:unhideWhenUsed/>
    <w:rsid w:val="00EA528B"/>
    <w:pPr>
      <w:spacing w:after="0" w:line="240" w:lineRule="auto"/>
    </w:pPr>
    <w:rPr>
      <w:sz w:val="20"/>
      <w:szCs w:val="20"/>
    </w:rPr>
  </w:style>
  <w:style w:type="character" w:customStyle="1" w:styleId="FootnoteTextChar">
    <w:name w:val="Footnote Text Char"/>
    <w:basedOn w:val="DefaultParagraphFont"/>
    <w:link w:val="FootnoteText"/>
    <w:uiPriority w:val="99"/>
    <w:rsid w:val="00EA528B"/>
    <w:rPr>
      <w:sz w:val="20"/>
      <w:szCs w:val="20"/>
    </w:rPr>
  </w:style>
  <w:style w:type="character" w:styleId="FootnoteReference">
    <w:name w:val="footnote reference"/>
    <w:basedOn w:val="DefaultParagraphFont"/>
    <w:uiPriority w:val="99"/>
    <w:unhideWhenUsed/>
    <w:rsid w:val="00EA528B"/>
    <w:rPr>
      <w:vertAlign w:val="superscript"/>
    </w:rPr>
  </w:style>
  <w:style w:type="character" w:styleId="UnresolvedMention">
    <w:name w:val="Unresolved Mention"/>
    <w:basedOn w:val="DefaultParagraphFont"/>
    <w:uiPriority w:val="99"/>
    <w:semiHidden/>
    <w:unhideWhenUsed/>
    <w:rsid w:val="00EA528B"/>
    <w:rPr>
      <w:color w:val="605E5C"/>
      <w:shd w:val="clear" w:color="auto" w:fill="E1DFDD"/>
    </w:rPr>
  </w:style>
  <w:style w:type="numbering" w:customStyle="1" w:styleId="YorkSolidWhiteList">
    <w:name w:val="York Solid White List"/>
    <w:uiPriority w:val="99"/>
    <w:rsid w:val="00D85263"/>
    <w:pPr>
      <w:numPr>
        <w:numId w:val="2"/>
      </w:numPr>
    </w:pPr>
  </w:style>
  <w:style w:type="character" w:styleId="FollowedHyperlink">
    <w:name w:val="FollowedHyperlink"/>
    <w:basedOn w:val="DefaultParagraphFont"/>
    <w:uiPriority w:val="99"/>
    <w:semiHidden/>
    <w:unhideWhenUsed/>
    <w:rsid w:val="00F239B4"/>
    <w:rPr>
      <w:color w:val="7F1516" w:themeColor="followedHyperlink"/>
      <w:u w:val="single"/>
    </w:rPr>
  </w:style>
  <w:style w:type="table" w:styleId="TableGridLight">
    <w:name w:val="Grid Table Light"/>
    <w:basedOn w:val="TableNormal"/>
    <w:uiPriority w:val="40"/>
    <w:rsid w:val="00BC5763"/>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itle-coverpage">
    <w:name w:val="Title - cover page"/>
    <w:basedOn w:val="Normal"/>
    <w:link w:val="Title-coverpageChar"/>
    <w:qFormat/>
    <w:rsid w:val="00195234"/>
    <w:pPr>
      <w:spacing w:before="720" w:line="228" w:lineRule="auto"/>
    </w:pPr>
    <w:rPr>
      <w:rFonts w:ascii="IBM Plex Sans SemiBold" w:hAnsi="IBM Plex Sans SemiBold"/>
      <w:color w:val="FFFFFF" w:themeColor="background1"/>
      <w:sz w:val="92"/>
      <w:szCs w:val="92"/>
    </w:rPr>
  </w:style>
  <w:style w:type="paragraph" w:customStyle="1" w:styleId="Subtitle-coverpage">
    <w:name w:val="Subtitle - cover page"/>
    <w:basedOn w:val="Normal"/>
    <w:link w:val="Subtitle-coverpageChar"/>
    <w:qFormat/>
    <w:rsid w:val="00195234"/>
    <w:pPr>
      <w:spacing w:after="620"/>
    </w:pPr>
    <w:rPr>
      <w:rFonts w:ascii="IBM Plex Sans Light" w:hAnsi="IBM Plex Sans Light"/>
      <w:color w:val="FFFFFF" w:themeColor="background1"/>
      <w:sz w:val="40"/>
      <w:szCs w:val="40"/>
    </w:rPr>
  </w:style>
  <w:style w:type="character" w:customStyle="1" w:styleId="Title-coverpageChar">
    <w:name w:val="Title - cover page Char"/>
    <w:basedOn w:val="DefaultParagraphFont"/>
    <w:link w:val="Title-coverpage"/>
    <w:rsid w:val="00195234"/>
    <w:rPr>
      <w:rFonts w:ascii="IBM Plex Sans SemiBold" w:hAnsi="IBM Plex Sans SemiBold"/>
      <w:color w:val="FFFFFF" w:themeColor="background1"/>
      <w:sz w:val="92"/>
      <w:szCs w:val="92"/>
    </w:rPr>
  </w:style>
  <w:style w:type="character" w:customStyle="1" w:styleId="Subtitle-coverpageChar">
    <w:name w:val="Subtitle - cover page Char"/>
    <w:basedOn w:val="DefaultParagraphFont"/>
    <w:link w:val="Subtitle-coverpage"/>
    <w:rsid w:val="00195234"/>
    <w:rPr>
      <w:rFonts w:ascii="IBM Plex Sans Light" w:hAnsi="IBM Plex Sans Light"/>
      <w:color w:val="FFFFFF" w:themeColor="background1"/>
      <w:sz w:val="40"/>
      <w:szCs w:val="40"/>
    </w:rPr>
  </w:style>
  <w:style w:type="character" w:customStyle="1" w:styleId="Heading6Char">
    <w:name w:val="Heading 6 Char"/>
    <w:basedOn w:val="DefaultParagraphFont"/>
    <w:link w:val="Heading6"/>
    <w:uiPriority w:val="9"/>
    <w:semiHidden/>
    <w:rsid w:val="00052B3F"/>
    <w:rPr>
      <w:rFonts w:ascii="Times New Roman" w:eastAsiaTheme="majorEastAsia" w:hAnsi="Times New Roman" w:cstheme="majorBidi"/>
      <w:i/>
      <w:iCs/>
      <w:color w:val="595959" w:themeColor="text1" w:themeTint="A6"/>
      <w:sz w:val="24"/>
      <w:szCs w:val="24"/>
    </w:rPr>
  </w:style>
  <w:style w:type="character" w:customStyle="1" w:styleId="Heading7Char">
    <w:name w:val="Heading 7 Char"/>
    <w:basedOn w:val="DefaultParagraphFont"/>
    <w:link w:val="Heading7"/>
    <w:uiPriority w:val="9"/>
    <w:semiHidden/>
    <w:rsid w:val="00052B3F"/>
    <w:rPr>
      <w:rFonts w:ascii="Times New Roman" w:eastAsiaTheme="majorEastAsia" w:hAnsi="Times New Roman" w:cstheme="majorBidi"/>
      <w:color w:val="595959" w:themeColor="text1" w:themeTint="A6"/>
      <w:sz w:val="24"/>
      <w:szCs w:val="24"/>
    </w:rPr>
  </w:style>
  <w:style w:type="character" w:customStyle="1" w:styleId="Heading8Char">
    <w:name w:val="Heading 8 Char"/>
    <w:basedOn w:val="DefaultParagraphFont"/>
    <w:link w:val="Heading8"/>
    <w:uiPriority w:val="9"/>
    <w:semiHidden/>
    <w:rsid w:val="00052B3F"/>
    <w:rPr>
      <w:rFonts w:ascii="Times New Roman" w:eastAsiaTheme="majorEastAsia" w:hAnsi="Times New Roman" w:cstheme="majorBidi"/>
      <w:i/>
      <w:iCs/>
      <w:color w:val="272727" w:themeColor="text1" w:themeTint="D8"/>
      <w:sz w:val="24"/>
      <w:szCs w:val="24"/>
    </w:rPr>
  </w:style>
  <w:style w:type="character" w:customStyle="1" w:styleId="Heading9Char">
    <w:name w:val="Heading 9 Char"/>
    <w:basedOn w:val="DefaultParagraphFont"/>
    <w:link w:val="Heading9"/>
    <w:uiPriority w:val="9"/>
    <w:semiHidden/>
    <w:rsid w:val="00052B3F"/>
    <w:rPr>
      <w:rFonts w:ascii="Times New Roman" w:eastAsiaTheme="majorEastAsia" w:hAnsi="Times New Roman" w:cstheme="majorBidi"/>
      <w:color w:val="272727" w:themeColor="text1" w:themeTint="D8"/>
      <w:sz w:val="24"/>
      <w:szCs w:val="24"/>
    </w:rPr>
  </w:style>
  <w:style w:type="paragraph" w:customStyle="1" w:styleId="whitespace-pre-wrap">
    <w:name w:val="whitespace-pre-wrap"/>
    <w:basedOn w:val="Normal"/>
    <w:rsid w:val="00052B3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itespace-normal">
    <w:name w:val="whitespace-normal"/>
    <w:basedOn w:val="Normal"/>
    <w:rsid w:val="00052B3F"/>
    <w:pPr>
      <w:spacing w:before="100" w:beforeAutospacing="1" w:after="100" w:afterAutospacing="1" w:line="240" w:lineRule="auto"/>
    </w:pPr>
    <w:rPr>
      <w:rFonts w:ascii="Times New Roman" w:eastAsia="Times New Roman" w:hAnsi="Times New Roman" w:cs="Times New Roman"/>
      <w:sz w:val="24"/>
      <w:szCs w:val="24"/>
    </w:rPr>
  </w:style>
  <w:style w:type="character" w:styleId="CommentReference">
    <w:name w:val="annotation reference"/>
    <w:basedOn w:val="DefaultParagraphFont"/>
    <w:uiPriority w:val="99"/>
    <w:semiHidden/>
    <w:unhideWhenUsed/>
    <w:rsid w:val="00052B3F"/>
    <w:rPr>
      <w:sz w:val="16"/>
      <w:szCs w:val="16"/>
    </w:rPr>
  </w:style>
  <w:style w:type="paragraph" w:styleId="CommentText">
    <w:name w:val="annotation text"/>
    <w:basedOn w:val="Normal"/>
    <w:link w:val="CommentTextChar"/>
    <w:uiPriority w:val="99"/>
    <w:unhideWhenUsed/>
    <w:rsid w:val="00052B3F"/>
    <w:pPr>
      <w:spacing w:after="0" w:line="240" w:lineRule="auto"/>
    </w:pPr>
    <w:rPr>
      <w:rFonts w:ascii="Times New Roman" w:eastAsia="Times New Roman" w:hAnsi="Times New Roman" w:cs="Times New Roman"/>
      <w:sz w:val="20"/>
      <w:szCs w:val="20"/>
    </w:rPr>
  </w:style>
  <w:style w:type="character" w:customStyle="1" w:styleId="CommentTextChar">
    <w:name w:val="Comment Text Char"/>
    <w:basedOn w:val="DefaultParagraphFont"/>
    <w:link w:val="CommentText"/>
    <w:uiPriority w:val="99"/>
    <w:rsid w:val="00052B3F"/>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52B3F"/>
    <w:rPr>
      <w:b/>
      <w:bCs/>
    </w:rPr>
  </w:style>
  <w:style w:type="character" w:customStyle="1" w:styleId="CommentSubjectChar">
    <w:name w:val="Comment Subject Char"/>
    <w:basedOn w:val="CommentTextChar"/>
    <w:link w:val="CommentSubject"/>
    <w:uiPriority w:val="99"/>
    <w:semiHidden/>
    <w:rsid w:val="00052B3F"/>
    <w:rPr>
      <w:rFonts w:ascii="Times New Roman" w:eastAsia="Times New Roman" w:hAnsi="Times New Roman" w:cs="Times New Roman"/>
      <w:b/>
      <w:bCs/>
      <w:sz w:val="20"/>
      <w:szCs w:val="20"/>
    </w:rPr>
  </w:style>
  <w:style w:type="character" w:styleId="PageNumber">
    <w:name w:val="page number"/>
    <w:basedOn w:val="DefaultParagraphFont"/>
    <w:uiPriority w:val="99"/>
    <w:semiHidden/>
    <w:unhideWhenUsed/>
    <w:rsid w:val="00052B3F"/>
  </w:style>
  <w:style w:type="paragraph" w:styleId="TOC4">
    <w:name w:val="toc 4"/>
    <w:basedOn w:val="Normal"/>
    <w:next w:val="Normal"/>
    <w:autoRedefine/>
    <w:uiPriority w:val="39"/>
    <w:unhideWhenUsed/>
    <w:rsid w:val="00052B3F"/>
    <w:pPr>
      <w:spacing w:after="0" w:line="240" w:lineRule="auto"/>
      <w:ind w:left="720"/>
    </w:pPr>
    <w:rPr>
      <w:rFonts w:eastAsia="Times New Roman" w:cs="Times New Roman"/>
      <w:sz w:val="20"/>
      <w:szCs w:val="20"/>
    </w:rPr>
  </w:style>
  <w:style w:type="paragraph" w:styleId="TOC5">
    <w:name w:val="toc 5"/>
    <w:basedOn w:val="Normal"/>
    <w:next w:val="Normal"/>
    <w:autoRedefine/>
    <w:uiPriority w:val="39"/>
    <w:unhideWhenUsed/>
    <w:rsid w:val="00052B3F"/>
    <w:pPr>
      <w:spacing w:after="0" w:line="240" w:lineRule="auto"/>
      <w:ind w:left="960"/>
    </w:pPr>
    <w:rPr>
      <w:rFonts w:eastAsia="Times New Roman" w:cs="Times New Roman"/>
      <w:sz w:val="20"/>
      <w:szCs w:val="20"/>
    </w:rPr>
  </w:style>
  <w:style w:type="paragraph" w:styleId="TOC6">
    <w:name w:val="toc 6"/>
    <w:basedOn w:val="Normal"/>
    <w:next w:val="Normal"/>
    <w:autoRedefine/>
    <w:uiPriority w:val="39"/>
    <w:unhideWhenUsed/>
    <w:rsid w:val="00052B3F"/>
    <w:pPr>
      <w:spacing w:after="0" w:line="240" w:lineRule="auto"/>
      <w:ind w:left="1200"/>
    </w:pPr>
    <w:rPr>
      <w:rFonts w:eastAsia="Times New Roman" w:cs="Times New Roman"/>
      <w:sz w:val="20"/>
      <w:szCs w:val="20"/>
    </w:rPr>
  </w:style>
  <w:style w:type="paragraph" w:styleId="TOC7">
    <w:name w:val="toc 7"/>
    <w:basedOn w:val="Normal"/>
    <w:next w:val="Normal"/>
    <w:autoRedefine/>
    <w:uiPriority w:val="39"/>
    <w:unhideWhenUsed/>
    <w:rsid w:val="00052B3F"/>
    <w:pPr>
      <w:spacing w:after="0" w:line="240" w:lineRule="auto"/>
      <w:ind w:left="1440"/>
    </w:pPr>
    <w:rPr>
      <w:rFonts w:eastAsia="Times New Roman" w:cs="Times New Roman"/>
      <w:sz w:val="20"/>
      <w:szCs w:val="20"/>
    </w:rPr>
  </w:style>
  <w:style w:type="paragraph" w:styleId="TOC8">
    <w:name w:val="toc 8"/>
    <w:basedOn w:val="Normal"/>
    <w:next w:val="Normal"/>
    <w:autoRedefine/>
    <w:uiPriority w:val="39"/>
    <w:unhideWhenUsed/>
    <w:rsid w:val="00052B3F"/>
    <w:pPr>
      <w:spacing w:after="0" w:line="240" w:lineRule="auto"/>
      <w:ind w:left="1680"/>
    </w:pPr>
    <w:rPr>
      <w:rFonts w:eastAsia="Times New Roman" w:cs="Times New Roman"/>
      <w:sz w:val="20"/>
      <w:szCs w:val="20"/>
    </w:rPr>
  </w:style>
  <w:style w:type="paragraph" w:styleId="TOC9">
    <w:name w:val="toc 9"/>
    <w:basedOn w:val="Normal"/>
    <w:next w:val="Normal"/>
    <w:autoRedefine/>
    <w:uiPriority w:val="39"/>
    <w:unhideWhenUsed/>
    <w:rsid w:val="00052B3F"/>
    <w:pPr>
      <w:spacing w:after="0" w:line="240" w:lineRule="auto"/>
      <w:ind w:left="1920"/>
    </w:pPr>
    <w:rPr>
      <w:rFonts w:eastAsia="Times New Roman" w:cs="Times New Roman"/>
      <w:sz w:val="20"/>
      <w:szCs w:val="20"/>
    </w:rPr>
  </w:style>
  <w:style w:type="paragraph" w:styleId="Revision">
    <w:name w:val="Revision"/>
    <w:hidden/>
    <w:uiPriority w:val="99"/>
    <w:semiHidden/>
    <w:rsid w:val="00052B3F"/>
    <w:pPr>
      <w:spacing w:after="0" w:line="240" w:lineRule="auto"/>
    </w:pPr>
    <w:rPr>
      <w:rFonts w:ascii="Times New Roman" w:eastAsia="Times New Roman" w:hAnsi="Times New Roman" w:cs="Times New Roman"/>
      <w:sz w:val="24"/>
      <w:szCs w:val="24"/>
    </w:rPr>
  </w:style>
  <w:style w:type="table" w:styleId="GridTable1Light-Accent5">
    <w:name w:val="Grid Table 1 Light Accent 5"/>
    <w:basedOn w:val="TableNormal"/>
    <w:uiPriority w:val="46"/>
    <w:rsid w:val="00B96CA6"/>
    <w:pPr>
      <w:spacing w:after="0" w:line="240" w:lineRule="auto"/>
    </w:pPr>
    <w:rPr>
      <w:kern w:val="2"/>
      <w:sz w:val="24"/>
      <w:szCs w:val="24"/>
      <w14:ligatures w14:val="standardContextual"/>
    </w:rPr>
    <w:tblPr>
      <w:tblStyleRowBandSize w:val="1"/>
      <w:tblStyleColBandSize w:val="1"/>
      <w:tblBorders>
        <w:top w:val="single" w:sz="4" w:space="0" w:color="DEF2FA" w:themeColor="accent5" w:themeTint="66"/>
        <w:left w:val="single" w:sz="4" w:space="0" w:color="DEF2FA" w:themeColor="accent5" w:themeTint="66"/>
        <w:bottom w:val="single" w:sz="4" w:space="0" w:color="DEF2FA" w:themeColor="accent5" w:themeTint="66"/>
        <w:right w:val="single" w:sz="4" w:space="0" w:color="DEF2FA" w:themeColor="accent5" w:themeTint="66"/>
        <w:insideH w:val="single" w:sz="4" w:space="0" w:color="DEF2FA" w:themeColor="accent5" w:themeTint="66"/>
        <w:insideV w:val="single" w:sz="4" w:space="0" w:color="DEF2FA" w:themeColor="accent5" w:themeTint="66"/>
      </w:tblBorders>
    </w:tblPr>
    <w:tblStylePr w:type="firstRow">
      <w:rPr>
        <w:b/>
        <w:bCs/>
      </w:rPr>
      <w:tblPr/>
      <w:tcPr>
        <w:tcBorders>
          <w:bottom w:val="single" w:sz="12" w:space="0" w:color="CEECF7" w:themeColor="accent5" w:themeTint="99"/>
        </w:tcBorders>
      </w:tcPr>
    </w:tblStylePr>
    <w:tblStylePr w:type="lastRow">
      <w:rPr>
        <w:b/>
        <w:bCs/>
      </w:rPr>
      <w:tblPr/>
      <w:tcPr>
        <w:tcBorders>
          <w:top w:val="double" w:sz="2" w:space="0" w:color="CEECF7" w:themeColor="accent5" w:themeTint="99"/>
        </w:tcBorders>
      </w:tcPr>
    </w:tblStylePr>
    <w:tblStylePr w:type="firstCol">
      <w:rPr>
        <w:b/>
        <w:bCs/>
      </w:rPr>
    </w:tblStylePr>
    <w:tblStylePr w:type="lastCol">
      <w:rPr>
        <w:b/>
        <w:bCs/>
      </w:rPr>
    </w:tblStylePr>
  </w:style>
  <w:style w:type="table" w:styleId="GridTable1Light-Accent1">
    <w:name w:val="Grid Table 1 Light Accent 1"/>
    <w:basedOn w:val="TableNormal"/>
    <w:uiPriority w:val="46"/>
    <w:rsid w:val="007318A4"/>
    <w:pPr>
      <w:spacing w:after="0" w:line="240" w:lineRule="auto"/>
    </w:pPr>
    <w:rPr>
      <w:kern w:val="2"/>
      <w:sz w:val="24"/>
      <w:szCs w:val="24"/>
      <w14:ligatures w14:val="standardContextual"/>
    </w:rPr>
    <w:tblPr>
      <w:tblStyleRowBandSize w:val="1"/>
      <w:tblStyleColBandSize w:val="1"/>
      <w:tblBorders>
        <w:top w:val="single" w:sz="4" w:space="0" w:color="F3ADB4" w:themeColor="accent1" w:themeTint="66"/>
        <w:left w:val="single" w:sz="4" w:space="0" w:color="F3ADB4" w:themeColor="accent1" w:themeTint="66"/>
        <w:bottom w:val="single" w:sz="4" w:space="0" w:color="F3ADB4" w:themeColor="accent1" w:themeTint="66"/>
        <w:right w:val="single" w:sz="4" w:space="0" w:color="F3ADB4" w:themeColor="accent1" w:themeTint="66"/>
        <w:insideH w:val="single" w:sz="4" w:space="0" w:color="F3ADB4" w:themeColor="accent1" w:themeTint="66"/>
        <w:insideV w:val="single" w:sz="4" w:space="0" w:color="F3ADB4" w:themeColor="accent1" w:themeTint="66"/>
      </w:tblBorders>
    </w:tblPr>
    <w:tblStylePr w:type="firstRow">
      <w:rPr>
        <w:b/>
        <w:bCs/>
      </w:rPr>
      <w:tblPr/>
      <w:tcPr>
        <w:tcBorders>
          <w:bottom w:val="single" w:sz="12" w:space="0" w:color="ED858F" w:themeColor="accent1" w:themeTint="99"/>
        </w:tcBorders>
      </w:tcPr>
    </w:tblStylePr>
    <w:tblStylePr w:type="lastRow">
      <w:rPr>
        <w:b/>
        <w:bCs/>
      </w:rPr>
      <w:tblPr/>
      <w:tcPr>
        <w:tcBorders>
          <w:top w:val="double" w:sz="2" w:space="0" w:color="ED858F" w:themeColor="accent1" w:themeTint="99"/>
        </w:tcBorders>
      </w:tcPr>
    </w:tblStylePr>
    <w:tblStylePr w:type="firstCol">
      <w:rPr>
        <w:b/>
        <w:bCs/>
      </w:rPr>
    </w:tblStylePr>
    <w:tblStylePr w:type="lastCol">
      <w:rPr>
        <w:b/>
        <w:bCs/>
      </w:rPr>
    </w:tblStylePr>
  </w:style>
  <w:style w:type="table" w:styleId="GridTable1Light-Accent4">
    <w:name w:val="Grid Table 1 Light Accent 4"/>
    <w:basedOn w:val="TableNormal"/>
    <w:uiPriority w:val="46"/>
    <w:rsid w:val="00D13688"/>
    <w:pPr>
      <w:spacing w:after="0" w:line="240" w:lineRule="auto"/>
    </w:pPr>
    <w:tblPr>
      <w:tblStyleRowBandSize w:val="1"/>
      <w:tblStyleColBandSize w:val="1"/>
      <w:tblBorders>
        <w:top w:val="single" w:sz="4" w:space="0" w:color="B1E6F7" w:themeColor="accent4" w:themeTint="66"/>
        <w:left w:val="single" w:sz="4" w:space="0" w:color="B1E6F7" w:themeColor="accent4" w:themeTint="66"/>
        <w:bottom w:val="single" w:sz="4" w:space="0" w:color="B1E6F7" w:themeColor="accent4" w:themeTint="66"/>
        <w:right w:val="single" w:sz="4" w:space="0" w:color="B1E6F7" w:themeColor="accent4" w:themeTint="66"/>
        <w:insideH w:val="single" w:sz="4" w:space="0" w:color="B1E6F7" w:themeColor="accent4" w:themeTint="66"/>
        <w:insideV w:val="single" w:sz="4" w:space="0" w:color="B1E6F7" w:themeColor="accent4" w:themeTint="66"/>
      </w:tblBorders>
    </w:tblPr>
    <w:tblStylePr w:type="firstRow">
      <w:rPr>
        <w:b/>
        <w:bCs/>
      </w:rPr>
      <w:tblPr/>
      <w:tcPr>
        <w:tcBorders>
          <w:bottom w:val="single" w:sz="12" w:space="0" w:color="8BDAF4" w:themeColor="accent4" w:themeTint="99"/>
        </w:tcBorders>
      </w:tcPr>
    </w:tblStylePr>
    <w:tblStylePr w:type="lastRow">
      <w:rPr>
        <w:b/>
        <w:bCs/>
      </w:rPr>
      <w:tblPr/>
      <w:tcPr>
        <w:tcBorders>
          <w:top w:val="double" w:sz="2" w:space="0" w:color="8BDAF4" w:themeColor="accent4"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234209">
      <w:bodyDiv w:val="1"/>
      <w:marLeft w:val="0"/>
      <w:marRight w:val="0"/>
      <w:marTop w:val="0"/>
      <w:marBottom w:val="0"/>
      <w:divBdr>
        <w:top w:val="none" w:sz="0" w:space="0" w:color="auto"/>
        <w:left w:val="none" w:sz="0" w:space="0" w:color="auto"/>
        <w:bottom w:val="none" w:sz="0" w:space="0" w:color="auto"/>
        <w:right w:val="none" w:sz="0" w:space="0" w:color="auto"/>
      </w:divBdr>
    </w:div>
    <w:div w:id="621036761">
      <w:bodyDiv w:val="1"/>
      <w:marLeft w:val="0"/>
      <w:marRight w:val="0"/>
      <w:marTop w:val="0"/>
      <w:marBottom w:val="0"/>
      <w:divBdr>
        <w:top w:val="none" w:sz="0" w:space="0" w:color="auto"/>
        <w:left w:val="none" w:sz="0" w:space="0" w:color="auto"/>
        <w:bottom w:val="none" w:sz="0" w:space="0" w:color="auto"/>
        <w:right w:val="none" w:sz="0" w:space="0" w:color="auto"/>
      </w:divBdr>
    </w:div>
    <w:div w:id="1022435722">
      <w:bodyDiv w:val="1"/>
      <w:marLeft w:val="0"/>
      <w:marRight w:val="0"/>
      <w:marTop w:val="0"/>
      <w:marBottom w:val="0"/>
      <w:divBdr>
        <w:top w:val="none" w:sz="0" w:space="0" w:color="auto"/>
        <w:left w:val="none" w:sz="0" w:space="0" w:color="auto"/>
        <w:bottom w:val="none" w:sz="0" w:space="0" w:color="auto"/>
        <w:right w:val="none" w:sz="0" w:space="0" w:color="auto"/>
      </w:divBdr>
    </w:div>
    <w:div w:id="2106686614">
      <w:bodyDiv w:val="1"/>
      <w:marLeft w:val="0"/>
      <w:marRight w:val="0"/>
      <w:marTop w:val="0"/>
      <w:marBottom w:val="0"/>
      <w:divBdr>
        <w:top w:val="none" w:sz="0" w:space="0" w:color="auto"/>
        <w:left w:val="none" w:sz="0" w:space="0" w:color="auto"/>
        <w:bottom w:val="none" w:sz="0" w:space="0" w:color="auto"/>
        <w:right w:val="none" w:sz="0" w:space="0" w:color="auto"/>
      </w:divBdr>
    </w:div>
    <w:div w:id="21100794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6.emf"/><Relationship Id="rId18" Type="http://schemas.openxmlformats.org/officeDocument/2006/relationships/hyperlink" Target="https://stars.aashe.org/about-stars/" TargetMode="External"/><Relationship Id="rId26" Type="http://schemas.openxmlformats.org/officeDocument/2006/relationships/hyperlink" Target="https://www.toronto.ca/city-government/planning-development/official-plan-guidelines/toronto-green-standard/toronto-green-standard-version-4/" TargetMode="External"/><Relationship Id="rId39" Type="http://schemas.openxmlformats.org/officeDocument/2006/relationships/hyperlink" Target="https://www.unsdsn.org/resources/accelerating-education-for-the-sdgs-in-universities-a-guide-for-universities-colleges-and-tertiary-and-higher-education-institutions/" TargetMode="External"/><Relationship Id="rId21" Type="http://schemas.openxmlformats.org/officeDocument/2006/relationships/hyperlink" Target="https://bomabest.org/" TargetMode="External"/><Relationship Id="rId34" Type="http://schemas.openxmlformats.org/officeDocument/2006/relationships/hyperlink" Target="https://humber.ca/sustainability/trail" TargetMode="External"/><Relationship Id="rId42" Type="http://schemas.openxmlformats.org/officeDocument/2006/relationships/hyperlink" Target="https://www.epa.gov/system/files/documents/2021-07/parameter-factsheet_e.-coli.pdf" TargetMode="External"/><Relationship Id="rId47" Type="http://schemas.openxmlformats.org/officeDocument/2006/relationships/hyperlink" Target="https://sustainability.berkeley.edu/sites/default/files/uc_berkeley_sustainability_plan_2020_1.pdf" TargetMode="External"/><Relationship Id="rId50" Type="http://schemas.openxmlformats.org/officeDocument/2006/relationships/hyperlink" Target="https://www.utm.utoronto.ca/green/transforming-our-campus/green-revolving-fund" TargetMode="External"/><Relationship Id="rId55" Type="http://schemas.openxmlformats.org/officeDocument/2006/relationships/hyperlink" Target="https://www.ncbi.nlm.nih.gov/pmc/articles/PMC2796751/" TargetMode="External"/><Relationship Id="rId7" Type="http://schemas.openxmlformats.org/officeDocument/2006/relationships/settings" Target="settings.xml"/><Relationship Id="rId2" Type="http://schemas.openxmlformats.org/officeDocument/2006/relationships/customXml" Target="../customXml/item2.xml"/><Relationship Id="rId16" Type="http://schemas.openxmlformats.org/officeDocument/2006/relationships/footer" Target="footer1.xml"/><Relationship Id="rId29" Type="http://schemas.openxmlformats.org/officeDocument/2006/relationships/hyperlink" Target="https://www.toronto.ca/city-government/planning-development/official-plan-guidelines/toronto-green-standard/toronto-green-standard-implementation/" TargetMode="External"/><Relationship Id="rId11" Type="http://schemas.openxmlformats.org/officeDocument/2006/relationships/image" Target="media/image3.jpg"/><Relationship Id="rId24" Type="http://schemas.openxmlformats.org/officeDocument/2006/relationships/hyperlink" Target="https://www.toronto.ca/city-government/planning-development/official-plan-guidelines/toronto-green-standard/" TargetMode="External"/><Relationship Id="rId32" Type="http://schemas.openxmlformats.org/officeDocument/2006/relationships/hyperlink" Target="https://www.concordia.ca/sustainability/campus/zero-waste.html" TargetMode="External"/><Relationship Id="rId37" Type="http://schemas.openxmlformats.org/officeDocument/2006/relationships/hyperlink" Target="https://doi.org/10.1177/1052562920953456" TargetMode="External"/><Relationship Id="rId40" Type="http://schemas.openxmlformats.org/officeDocument/2006/relationships/hyperlink" Target="https://www.timeshighereducation.com/world-university-rankings/impact-rankings-2023-methodology" TargetMode="External"/><Relationship Id="rId45" Type="http://schemas.openxmlformats.org/officeDocument/2006/relationships/hyperlink" Target="https://livinglabs.ubc.ca/sites/default/files/2022-08/Test%20Lab%20for%20Sustainability%20-%20High%20Performance%20Buildings%20Magazine.pdf" TargetMode="External"/><Relationship Id="rId53" Type="http://schemas.openxmlformats.org/officeDocument/2006/relationships/hyperlink" Target="https://uwaterloo.ca/sustainability/sites/default/files/uploads/documents/sustainability_report_2022_final.pdf" TargetMode="External"/><Relationship Id="rId58" Type="http://schemas.openxmlformats.org/officeDocument/2006/relationships/theme" Target="theme/theme1.xml"/><Relationship Id="rId5" Type="http://schemas.openxmlformats.org/officeDocument/2006/relationships/numbering" Target="numbering.xml"/><Relationship Id="rId19" Type="http://schemas.openxmlformats.org/officeDocument/2006/relationships/hyperlink" Target="https://assets.new.siemens.com/siemens/assets/api/uuid:0afaa259-b721-4bc3-8830-ace5269ced2f/ca-ifl-en-case-study-algonquin-2021.pdf"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hyperlink" Target="https://www.cagbc.org/our-work/certification/leed/" TargetMode="External"/><Relationship Id="rId27" Type="http://schemas.openxmlformats.org/officeDocument/2006/relationships/hyperlink" Target="https://www.toronto.ca/wp-content/uploads/2022/03/8e69-City-Planning-TGS-Checklist-Version-4-Mid-to-High-Rise-and-Non-Residential.pdf" TargetMode="External"/><Relationship Id="rId30" Type="http://schemas.openxmlformats.org/officeDocument/2006/relationships/hyperlink" Target="https://www.toronto.ca/city-government/planning-development/official-plan-guidelines/toronto-green-standard/development-charge-refund-program/" TargetMode="External"/><Relationship Id="rId35" Type="http://schemas.openxmlformats.org/officeDocument/2006/relationships/hyperlink" Target="https://www.mcgill.ca/facilities/about/utilities/energymanagement" TargetMode="External"/><Relationship Id="rId43" Type="http://schemas.openxmlformats.org/officeDocument/2006/relationships/hyperlink" Target="https://www.usgbc.org/leed/v41" TargetMode="External"/><Relationship Id="rId48" Type="http://schemas.openxmlformats.org/officeDocument/2006/relationships/hyperlink" Target="https://creeks.berkeley.edu/strawberry-creek-management-plan-1987/522-stormwater-management" TargetMode="External"/><Relationship Id="rId56" Type="http://schemas.openxmlformats.org/officeDocument/2006/relationships/hyperlink" Target="https://www.yorku.ca/sustainability/priorities/action-commitment/" TargetMode="External"/><Relationship Id="rId8" Type="http://schemas.openxmlformats.org/officeDocument/2006/relationships/webSettings" Target="webSettings.xml"/><Relationship Id="rId51" Type="http://schemas.openxmlformats.org/officeDocument/2006/relationships/hyperlink" Target="https://www.fs.utoronto.ca/wp-content/uploads/2024/04/SO-Annual-Report_2023_final.pdf" TargetMode="External"/><Relationship Id="rId3" Type="http://schemas.openxmlformats.org/officeDocument/2006/relationships/customXml" Target="../customXml/item3.xml"/><Relationship Id="rId12" Type="http://schemas.openxmlformats.org/officeDocument/2006/relationships/image" Target="media/image4.emf"/><Relationship Id="rId17" Type="http://schemas.openxmlformats.org/officeDocument/2006/relationships/header" Target="header3.xml"/><Relationship Id="rId25" Type="http://schemas.openxmlformats.org/officeDocument/2006/relationships/hyperlink" Target="https://www.toronto.ca/city-government/planning-development/official-plan-guidelines/toronto-green-standard/" TargetMode="External"/><Relationship Id="rId33" Type="http://schemas.openxmlformats.org/officeDocument/2006/relationships/hyperlink" Target="https://humber.ca/sustainability/sites/default/files/NEWHumberSustainabilityBrochure2019-2024..pdf" TargetMode="External"/><Relationship Id="rId38" Type="http://schemas.openxmlformats.org/officeDocument/2006/relationships/hyperlink" Target="https://reports.aashe.org/institutions/participants-and-reports/" TargetMode="External"/><Relationship Id="rId46" Type="http://schemas.openxmlformats.org/officeDocument/2006/relationships/hyperlink" Target="https://sustain.ubc.ca/get-involved/sustainability-funding-opportunities/sustainability-revolving-fund" TargetMode="External"/><Relationship Id="rId20" Type="http://schemas.openxmlformats.org/officeDocument/2006/relationships/hyperlink" Target="https://www.aia.org/design-excellence/aia-framework-design-excellence" TargetMode="External"/><Relationship Id="rId41" Type="http://schemas.openxmlformats.org/officeDocument/2006/relationships/hyperlink" Target="https://www.timeshighereducation.com/rankings/impact/2023/overall" TargetMode="External"/><Relationship Id="rId54" Type="http://schemas.openxmlformats.org/officeDocument/2006/relationships/hyperlink" Target="https://sustainability.uwo.ca/Campus/water/wconservation.html" TargetMode="External"/><Relationship Id="rId1" Type="http://schemas.openxmlformats.org/officeDocument/2006/relationships/customXml" Target="../customXml/item1.xml"/><Relationship Id="rId6" Type="http://schemas.openxmlformats.org/officeDocument/2006/relationships/styles" Target="styles.xml"/><Relationship Id="rId15" Type="http://schemas.openxmlformats.org/officeDocument/2006/relationships/header" Target="header2.xml"/><Relationship Id="rId23" Type="http://schemas.openxmlformats.org/officeDocument/2006/relationships/hyperlink" Target="https://www.cagbc.org/our-work/certification/zero-carbon-building-standard/" TargetMode="External"/><Relationship Id="rId28" Type="http://schemas.openxmlformats.org/officeDocument/2006/relationships/hyperlink" Target="https://www.toronto.ca/city-government/planning-development/official-plan-guidelines/toronto-green-standard/toronto-green-standard-version-4/existing-buildings/" TargetMode="External"/><Relationship Id="rId36" Type="http://schemas.openxmlformats.org/officeDocument/2006/relationships/hyperlink" Target="https://passivehouse.com/02_informations/02_passive-house-requirements/02_passive-house-requirements.htm" TargetMode="External"/><Relationship Id="rId49" Type="http://schemas.openxmlformats.org/officeDocument/2006/relationships/hyperlink" Target="https://www.uoguelph.ca/news/2011/02/u_of_gs_energy.html" TargetMode="External"/><Relationship Id="rId57" Type="http://schemas.openxmlformats.org/officeDocument/2006/relationships/fontTable" Target="fontTable.xml"/><Relationship Id="rId10" Type="http://schemas.openxmlformats.org/officeDocument/2006/relationships/endnotes" Target="endnotes.xml"/><Relationship Id="rId31" Type="http://schemas.openxmlformats.org/officeDocument/2006/relationships/hyperlink" Target="https://www.toronto.ca/services-payments/water-environment/environmentally-friendly-city-initiatives/transformto/" TargetMode="External"/><Relationship Id="rId44" Type="http://schemas.openxmlformats.org/officeDocument/2006/relationships/hyperlink" Target="https://sustain.ubc.ca/sites/default/files/uploads/CampusSustainability/CS_PDFs/PlansReports/Plans/20-Year-Sustainability-Strategy-UBC.pdf" TargetMode="External"/><Relationship Id="rId52" Type="http://schemas.openxmlformats.org/officeDocument/2006/relationships/hyperlink" Target="https://climatepositive.utoronto.ca/" TargetMode="External"/></Relationships>
</file>

<file path=word/_rels/footer1.xml.rels><?xml version="1.0" encoding="UTF-8" standalone="yes"?>
<Relationships xmlns="http://schemas.openxmlformats.org/package/2006/relationships"><Relationship Id="rId1" Type="http://schemas.openxmlformats.org/officeDocument/2006/relationships/image" Target="media/image5.png"/></Relationships>
</file>

<file path=word/_rels/numbering.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York 2020">
      <a:dk1>
        <a:srgbClr val="000000"/>
      </a:dk1>
      <a:lt1>
        <a:srgbClr val="FFFFFF"/>
      </a:lt1>
      <a:dk2>
        <a:srgbClr val="AF1F24"/>
      </a:dk2>
      <a:lt2>
        <a:srgbClr val="F2F2F2"/>
      </a:lt2>
      <a:accent1>
        <a:srgbClr val="E13446"/>
      </a:accent1>
      <a:accent2>
        <a:srgbClr val="686361"/>
      </a:accent2>
      <a:accent3>
        <a:srgbClr val="7F1516"/>
      </a:accent3>
      <a:accent4>
        <a:srgbClr val="3EC2ED"/>
      </a:accent4>
      <a:accent5>
        <a:srgbClr val="AFE1F3"/>
      </a:accent5>
      <a:accent6>
        <a:srgbClr val="D6D0CA"/>
      </a:accent6>
      <a:hlink>
        <a:srgbClr val="E21E38"/>
      </a:hlink>
      <a:folHlink>
        <a:srgbClr val="7F1516"/>
      </a:folHlink>
    </a:clrScheme>
    <a:fontScheme name="York 2020">
      <a:majorFont>
        <a:latin typeface="IBM Plex Sans Medium"/>
        <a:ea typeface=""/>
        <a:cs typeface=""/>
      </a:majorFont>
      <a:minorFont>
        <a:latin typeface="IBM Plex Sans"/>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ed8f9b2c-7b97-4a0c-b28f-c8fa579ce44e" xsi:nil="true"/>
    <lcf76f155ced4ddcb4097134ff3c332f xmlns="7685ea7c-5f1c-4aa4-a887-979ba6877a19">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B39C7F46346F0A44916EC8F1F0994BD6" ma:contentTypeVersion="10" ma:contentTypeDescription="Create a new document." ma:contentTypeScope="" ma:versionID="670187f6a4e825be880560392ec5e32a">
  <xsd:schema xmlns:xsd="http://www.w3.org/2001/XMLSchema" xmlns:xs="http://www.w3.org/2001/XMLSchema" xmlns:p="http://schemas.microsoft.com/office/2006/metadata/properties" xmlns:ns2="7685ea7c-5f1c-4aa4-a887-979ba6877a19" xmlns:ns3="ed8f9b2c-7b97-4a0c-b28f-c8fa579ce44e" targetNamespace="http://schemas.microsoft.com/office/2006/metadata/properties" ma:root="true" ma:fieldsID="202bc92ad1cd5a7ee1d23973d7602a0a" ns2:_="" ns3:_="">
    <xsd:import namespace="7685ea7c-5f1c-4aa4-a887-979ba6877a19"/>
    <xsd:import namespace="ed8f9b2c-7b97-4a0c-b28f-c8fa579ce44e"/>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685ea7c-5f1c-4aa4-a887-979ba6877a1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d71e4e8f-6a1f-4875-a71b-ff038a1f7ee8" ma:termSetId="09814cd3-568e-fe90-9814-8d621ff8fb84" ma:anchorId="fba54fb3-c3e1-fe81-a776-ca4b69148c4d" ma:open="true" ma:isKeyword="false">
      <xsd:complexType>
        <xsd:sequence>
          <xsd:element ref="pc:Terms" minOccurs="0" maxOccurs="1"/>
        </xsd:sequence>
      </xsd:complex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dexed="true" ma:internalName="MediaServiceDateTaken" ma:readOnly="true">
      <xsd:simpleType>
        <xsd:restriction base="dms:Text"/>
      </xsd:simpleType>
    </xsd:element>
    <xsd:element name="MediaServiceObjectDetectorVersions" ma:index="17"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ed8f9b2c-7b97-4a0c-b28f-c8fa579ce44e"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8a8149d7-446b-4067-9fd8-7e75d6264067}" ma:internalName="TaxCatchAll" ma:showField="CatchAllData" ma:web="ed8f9b2c-7b97-4a0c-b28f-c8fa579ce4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8293DCD-44C1-4DA2-B09F-A63EB4157631}">
  <ds:schemaRefs>
    <ds:schemaRef ds:uri="http://schemas.microsoft.com/sharepoint/v3/contenttype/forms"/>
  </ds:schemaRefs>
</ds:datastoreItem>
</file>

<file path=customXml/itemProps2.xml><?xml version="1.0" encoding="utf-8"?>
<ds:datastoreItem xmlns:ds="http://schemas.openxmlformats.org/officeDocument/2006/customXml" ds:itemID="{5506DAA9-E961-4AC6-8A47-8188FD00174A}">
  <ds:schemaRefs>
    <ds:schemaRef ds:uri="http://schemas.openxmlformats.org/officeDocument/2006/bibliography"/>
  </ds:schemaRefs>
</ds:datastoreItem>
</file>

<file path=customXml/itemProps3.xml><?xml version="1.0" encoding="utf-8"?>
<ds:datastoreItem xmlns:ds="http://schemas.openxmlformats.org/officeDocument/2006/customXml" ds:itemID="{F6EEC65D-B893-4E8A-ABAB-28DD00BF4353}">
  <ds:schemaRefs>
    <ds:schemaRef ds:uri="http://schemas.microsoft.com/office/2006/metadata/properties"/>
    <ds:schemaRef ds:uri="http://schemas.microsoft.com/office/infopath/2007/PartnerControls"/>
    <ds:schemaRef ds:uri="ed8f9b2c-7b97-4a0c-b28f-c8fa579ce44e"/>
    <ds:schemaRef ds:uri="7685ea7c-5f1c-4aa4-a887-979ba6877a19"/>
  </ds:schemaRefs>
</ds:datastoreItem>
</file>

<file path=customXml/itemProps4.xml><?xml version="1.0" encoding="utf-8"?>
<ds:datastoreItem xmlns:ds="http://schemas.openxmlformats.org/officeDocument/2006/customXml" ds:itemID="{4EFC9ABE-619C-49FA-8A47-D1DB752566E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685ea7c-5f1c-4aa4-a887-979ba6877a19"/>
    <ds:schemaRef ds:uri="ed8f9b2c-7b97-4a0c-b28f-c8fa579ce4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81</Pages>
  <Words>25061</Words>
  <Characters>166155</Characters>
  <Application>Microsoft Office Word</Application>
  <DocSecurity>0</DocSecurity>
  <Lines>3692</Lines>
  <Paragraphs>1692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189524</CharactersWithSpaces>
  <SharedDoc>false</SharedDoc>
  <HLinks>
    <vt:vector size="564" baseType="variant">
      <vt:variant>
        <vt:i4>458839</vt:i4>
      </vt:variant>
      <vt:variant>
        <vt:i4>459</vt:i4>
      </vt:variant>
      <vt:variant>
        <vt:i4>0</vt:i4>
      </vt:variant>
      <vt:variant>
        <vt:i4>5</vt:i4>
      </vt:variant>
      <vt:variant>
        <vt:lpwstr>https://www.yorku.ca/sustainability/priorities/action-commitment/</vt:lpwstr>
      </vt:variant>
      <vt:variant>
        <vt:lpwstr/>
      </vt:variant>
      <vt:variant>
        <vt:i4>1638470</vt:i4>
      </vt:variant>
      <vt:variant>
        <vt:i4>456</vt:i4>
      </vt:variant>
      <vt:variant>
        <vt:i4>0</vt:i4>
      </vt:variant>
      <vt:variant>
        <vt:i4>5</vt:i4>
      </vt:variant>
      <vt:variant>
        <vt:lpwstr>https://www.ncbi.nlm.nih.gov/pmc/articles/PMC2796751/</vt:lpwstr>
      </vt:variant>
      <vt:variant>
        <vt:lpwstr/>
      </vt:variant>
      <vt:variant>
        <vt:i4>6160387</vt:i4>
      </vt:variant>
      <vt:variant>
        <vt:i4>453</vt:i4>
      </vt:variant>
      <vt:variant>
        <vt:i4>0</vt:i4>
      </vt:variant>
      <vt:variant>
        <vt:i4>5</vt:i4>
      </vt:variant>
      <vt:variant>
        <vt:lpwstr>https://sustainability.uwo.ca/Campus/water/wconservation.html</vt:lpwstr>
      </vt:variant>
      <vt:variant>
        <vt:lpwstr/>
      </vt:variant>
      <vt:variant>
        <vt:i4>131125</vt:i4>
      </vt:variant>
      <vt:variant>
        <vt:i4>450</vt:i4>
      </vt:variant>
      <vt:variant>
        <vt:i4>0</vt:i4>
      </vt:variant>
      <vt:variant>
        <vt:i4>5</vt:i4>
      </vt:variant>
      <vt:variant>
        <vt:lpwstr>https://uwaterloo.ca/sustainability/sites/default/files/uploads/documents/sustainability_report_2022_final.pdf</vt:lpwstr>
      </vt:variant>
      <vt:variant>
        <vt:lpwstr/>
      </vt:variant>
      <vt:variant>
        <vt:i4>10</vt:i4>
      </vt:variant>
      <vt:variant>
        <vt:i4>447</vt:i4>
      </vt:variant>
      <vt:variant>
        <vt:i4>0</vt:i4>
      </vt:variant>
      <vt:variant>
        <vt:i4>5</vt:i4>
      </vt:variant>
      <vt:variant>
        <vt:lpwstr>https://climatepositive.utoronto.ca/</vt:lpwstr>
      </vt:variant>
      <vt:variant>
        <vt:lpwstr/>
      </vt:variant>
      <vt:variant>
        <vt:i4>7667758</vt:i4>
      </vt:variant>
      <vt:variant>
        <vt:i4>444</vt:i4>
      </vt:variant>
      <vt:variant>
        <vt:i4>0</vt:i4>
      </vt:variant>
      <vt:variant>
        <vt:i4>5</vt:i4>
      </vt:variant>
      <vt:variant>
        <vt:lpwstr>https://www.fs.utoronto.ca/wp-content/uploads/2024/04/SO-Annual-Report_2023_final.pdf</vt:lpwstr>
      </vt:variant>
      <vt:variant>
        <vt:lpwstr/>
      </vt:variant>
      <vt:variant>
        <vt:i4>3801189</vt:i4>
      </vt:variant>
      <vt:variant>
        <vt:i4>441</vt:i4>
      </vt:variant>
      <vt:variant>
        <vt:i4>0</vt:i4>
      </vt:variant>
      <vt:variant>
        <vt:i4>5</vt:i4>
      </vt:variant>
      <vt:variant>
        <vt:lpwstr>https://www.utm.utoronto.ca/green/transforming-our-campus/green-revolving-fund</vt:lpwstr>
      </vt:variant>
      <vt:variant>
        <vt:lpwstr/>
      </vt:variant>
      <vt:variant>
        <vt:i4>7667777</vt:i4>
      </vt:variant>
      <vt:variant>
        <vt:i4>438</vt:i4>
      </vt:variant>
      <vt:variant>
        <vt:i4>0</vt:i4>
      </vt:variant>
      <vt:variant>
        <vt:i4>5</vt:i4>
      </vt:variant>
      <vt:variant>
        <vt:lpwstr>https://www.uoguelph.ca/news/2011/02/u_of_gs_energy.html</vt:lpwstr>
      </vt:variant>
      <vt:variant>
        <vt:lpwstr/>
      </vt:variant>
      <vt:variant>
        <vt:i4>7340135</vt:i4>
      </vt:variant>
      <vt:variant>
        <vt:i4>435</vt:i4>
      </vt:variant>
      <vt:variant>
        <vt:i4>0</vt:i4>
      </vt:variant>
      <vt:variant>
        <vt:i4>5</vt:i4>
      </vt:variant>
      <vt:variant>
        <vt:lpwstr>https://creeks.berkeley.edu/strawberry-creek-management-plan-1987/522-stormwater-management</vt:lpwstr>
      </vt:variant>
      <vt:variant>
        <vt:lpwstr/>
      </vt:variant>
      <vt:variant>
        <vt:i4>6684690</vt:i4>
      </vt:variant>
      <vt:variant>
        <vt:i4>432</vt:i4>
      </vt:variant>
      <vt:variant>
        <vt:i4>0</vt:i4>
      </vt:variant>
      <vt:variant>
        <vt:i4>5</vt:i4>
      </vt:variant>
      <vt:variant>
        <vt:lpwstr>https://sustainability.berkeley.edu/sites/default/files/uc_berkeley_sustainability_plan_2020_1.pdf</vt:lpwstr>
      </vt:variant>
      <vt:variant>
        <vt:lpwstr/>
      </vt:variant>
      <vt:variant>
        <vt:i4>7602183</vt:i4>
      </vt:variant>
      <vt:variant>
        <vt:i4>429</vt:i4>
      </vt:variant>
      <vt:variant>
        <vt:i4>0</vt:i4>
      </vt:variant>
      <vt:variant>
        <vt:i4>5</vt:i4>
      </vt:variant>
      <vt:variant>
        <vt:lpwstr>https://www.epa.gov/system/files/documents/2021-07/parameter-factsheet_e.-coli.pdf</vt:lpwstr>
      </vt:variant>
      <vt:variant>
        <vt:lpwstr/>
      </vt:variant>
      <vt:variant>
        <vt:i4>3866721</vt:i4>
      </vt:variant>
      <vt:variant>
        <vt:i4>426</vt:i4>
      </vt:variant>
      <vt:variant>
        <vt:i4>0</vt:i4>
      </vt:variant>
      <vt:variant>
        <vt:i4>5</vt:i4>
      </vt:variant>
      <vt:variant>
        <vt:lpwstr>https://sustain.ubc.ca/get-involved/sustainability-funding-opportunities/sustainability-revolving-fund</vt:lpwstr>
      </vt:variant>
      <vt:variant>
        <vt:lpwstr/>
      </vt:variant>
      <vt:variant>
        <vt:i4>3014723</vt:i4>
      </vt:variant>
      <vt:variant>
        <vt:i4>423</vt:i4>
      </vt:variant>
      <vt:variant>
        <vt:i4>0</vt:i4>
      </vt:variant>
      <vt:variant>
        <vt:i4>5</vt:i4>
      </vt:variant>
      <vt:variant>
        <vt:lpwstr>https://sustain.ubc.ca/sites/default/files/uploads/CampusSustainability/CS_PDFs/PlansReports/Plans/20-Year-Sustainability-Strategy-UBC.pdf</vt:lpwstr>
      </vt:variant>
      <vt:variant>
        <vt:lpwstr/>
      </vt:variant>
      <vt:variant>
        <vt:i4>3539041</vt:i4>
      </vt:variant>
      <vt:variant>
        <vt:i4>420</vt:i4>
      </vt:variant>
      <vt:variant>
        <vt:i4>0</vt:i4>
      </vt:variant>
      <vt:variant>
        <vt:i4>5</vt:i4>
      </vt:variant>
      <vt:variant>
        <vt:lpwstr>https://livinglabs.ubc.ca/sites/default/files/2022-08/Test Lab for Sustainability - High Performance Buildings Magazine.pdf</vt:lpwstr>
      </vt:variant>
      <vt:variant>
        <vt:lpwstr/>
      </vt:variant>
      <vt:variant>
        <vt:i4>7077931</vt:i4>
      </vt:variant>
      <vt:variant>
        <vt:i4>417</vt:i4>
      </vt:variant>
      <vt:variant>
        <vt:i4>0</vt:i4>
      </vt:variant>
      <vt:variant>
        <vt:i4>5</vt:i4>
      </vt:variant>
      <vt:variant>
        <vt:lpwstr>https://www.usgbc.org/leed/v41</vt:lpwstr>
      </vt:variant>
      <vt:variant>
        <vt:lpwstr/>
      </vt:variant>
      <vt:variant>
        <vt:i4>5505025</vt:i4>
      </vt:variant>
      <vt:variant>
        <vt:i4>414</vt:i4>
      </vt:variant>
      <vt:variant>
        <vt:i4>0</vt:i4>
      </vt:variant>
      <vt:variant>
        <vt:i4>5</vt:i4>
      </vt:variant>
      <vt:variant>
        <vt:lpwstr>https://www.timeshighereducation.com/rankings/impact/2023/overall</vt:lpwstr>
      </vt:variant>
      <vt:variant>
        <vt:lpwstr/>
      </vt:variant>
      <vt:variant>
        <vt:i4>8126576</vt:i4>
      </vt:variant>
      <vt:variant>
        <vt:i4>411</vt:i4>
      </vt:variant>
      <vt:variant>
        <vt:i4>0</vt:i4>
      </vt:variant>
      <vt:variant>
        <vt:i4>5</vt:i4>
      </vt:variant>
      <vt:variant>
        <vt:lpwstr>https://www.timeshighereducation.com/world-university-rankings/impact-rankings-2023-methodology</vt:lpwstr>
      </vt:variant>
      <vt:variant>
        <vt:lpwstr/>
      </vt:variant>
      <vt:variant>
        <vt:i4>7667773</vt:i4>
      </vt:variant>
      <vt:variant>
        <vt:i4>408</vt:i4>
      </vt:variant>
      <vt:variant>
        <vt:i4>0</vt:i4>
      </vt:variant>
      <vt:variant>
        <vt:i4>5</vt:i4>
      </vt:variant>
      <vt:variant>
        <vt:lpwstr>https://www.unsdsn.org/resources/accelerating-education-for-the-sdgs-in-universities-a-guide-for-universities-colleges-and-tertiary-and-higher-education-institutions/</vt:lpwstr>
      </vt:variant>
      <vt:variant>
        <vt:lpwstr/>
      </vt:variant>
      <vt:variant>
        <vt:i4>1376271</vt:i4>
      </vt:variant>
      <vt:variant>
        <vt:i4>405</vt:i4>
      </vt:variant>
      <vt:variant>
        <vt:i4>0</vt:i4>
      </vt:variant>
      <vt:variant>
        <vt:i4>5</vt:i4>
      </vt:variant>
      <vt:variant>
        <vt:lpwstr>https://reports.aashe.org/institutions/participants-and-reports/</vt:lpwstr>
      </vt:variant>
      <vt:variant>
        <vt:lpwstr/>
      </vt:variant>
      <vt:variant>
        <vt:i4>1966162</vt:i4>
      </vt:variant>
      <vt:variant>
        <vt:i4>402</vt:i4>
      </vt:variant>
      <vt:variant>
        <vt:i4>0</vt:i4>
      </vt:variant>
      <vt:variant>
        <vt:i4>5</vt:i4>
      </vt:variant>
      <vt:variant>
        <vt:lpwstr>https://doi.org/10.1177/1052562920953456</vt:lpwstr>
      </vt:variant>
      <vt:variant>
        <vt:lpwstr/>
      </vt:variant>
      <vt:variant>
        <vt:i4>7143502</vt:i4>
      </vt:variant>
      <vt:variant>
        <vt:i4>399</vt:i4>
      </vt:variant>
      <vt:variant>
        <vt:i4>0</vt:i4>
      </vt:variant>
      <vt:variant>
        <vt:i4>5</vt:i4>
      </vt:variant>
      <vt:variant>
        <vt:lpwstr>https://passivehouse.com/02_informations/02_passive-house-requirements/02_passive-house-requirements.htm</vt:lpwstr>
      </vt:variant>
      <vt:variant>
        <vt:lpwstr/>
      </vt:variant>
      <vt:variant>
        <vt:i4>786501</vt:i4>
      </vt:variant>
      <vt:variant>
        <vt:i4>396</vt:i4>
      </vt:variant>
      <vt:variant>
        <vt:i4>0</vt:i4>
      </vt:variant>
      <vt:variant>
        <vt:i4>5</vt:i4>
      </vt:variant>
      <vt:variant>
        <vt:lpwstr>https://www.mcgill.ca/facilities/about/utilities/energymanagement</vt:lpwstr>
      </vt:variant>
      <vt:variant>
        <vt:lpwstr/>
      </vt:variant>
      <vt:variant>
        <vt:i4>3211310</vt:i4>
      </vt:variant>
      <vt:variant>
        <vt:i4>393</vt:i4>
      </vt:variant>
      <vt:variant>
        <vt:i4>0</vt:i4>
      </vt:variant>
      <vt:variant>
        <vt:i4>5</vt:i4>
      </vt:variant>
      <vt:variant>
        <vt:lpwstr>https://humber.ca/sustainability/trail</vt:lpwstr>
      </vt:variant>
      <vt:variant>
        <vt:lpwstr/>
      </vt:variant>
      <vt:variant>
        <vt:i4>7995509</vt:i4>
      </vt:variant>
      <vt:variant>
        <vt:i4>390</vt:i4>
      </vt:variant>
      <vt:variant>
        <vt:i4>0</vt:i4>
      </vt:variant>
      <vt:variant>
        <vt:i4>5</vt:i4>
      </vt:variant>
      <vt:variant>
        <vt:lpwstr>https://humber.ca/sustainability/sites/default/files/NEWHumberSustainabilityBrochure2019-2024..pdf</vt:lpwstr>
      </vt:variant>
      <vt:variant>
        <vt:lpwstr/>
      </vt:variant>
      <vt:variant>
        <vt:i4>3014689</vt:i4>
      </vt:variant>
      <vt:variant>
        <vt:i4>387</vt:i4>
      </vt:variant>
      <vt:variant>
        <vt:i4>0</vt:i4>
      </vt:variant>
      <vt:variant>
        <vt:i4>5</vt:i4>
      </vt:variant>
      <vt:variant>
        <vt:lpwstr>https://www.concordia.ca/sustainability/campus/zero-waste.html</vt:lpwstr>
      </vt:variant>
      <vt:variant>
        <vt:lpwstr/>
      </vt:variant>
      <vt:variant>
        <vt:i4>327693</vt:i4>
      </vt:variant>
      <vt:variant>
        <vt:i4>384</vt:i4>
      </vt:variant>
      <vt:variant>
        <vt:i4>0</vt:i4>
      </vt:variant>
      <vt:variant>
        <vt:i4>5</vt:i4>
      </vt:variant>
      <vt:variant>
        <vt:lpwstr>https://www.toronto.ca/services-payments/water-environment/environmentally-friendly-city-initiatives/transformto/</vt:lpwstr>
      </vt:variant>
      <vt:variant>
        <vt:lpwstr/>
      </vt:variant>
      <vt:variant>
        <vt:i4>6750324</vt:i4>
      </vt:variant>
      <vt:variant>
        <vt:i4>381</vt:i4>
      </vt:variant>
      <vt:variant>
        <vt:i4>0</vt:i4>
      </vt:variant>
      <vt:variant>
        <vt:i4>5</vt:i4>
      </vt:variant>
      <vt:variant>
        <vt:lpwstr>https://www.toronto.ca/city-government/planning-development/official-plan-guidelines/toronto-green-standard/development-charge-refund-program/</vt:lpwstr>
      </vt:variant>
      <vt:variant>
        <vt:lpwstr/>
      </vt:variant>
      <vt:variant>
        <vt:i4>7340145</vt:i4>
      </vt:variant>
      <vt:variant>
        <vt:i4>378</vt:i4>
      </vt:variant>
      <vt:variant>
        <vt:i4>0</vt:i4>
      </vt:variant>
      <vt:variant>
        <vt:i4>5</vt:i4>
      </vt:variant>
      <vt:variant>
        <vt:lpwstr>https://www.toronto.ca/city-government/planning-development/official-plan-guidelines/toronto-green-standard/toronto-green-standard-implementation/</vt:lpwstr>
      </vt:variant>
      <vt:variant>
        <vt:lpwstr/>
      </vt:variant>
      <vt:variant>
        <vt:i4>1900569</vt:i4>
      </vt:variant>
      <vt:variant>
        <vt:i4>375</vt:i4>
      </vt:variant>
      <vt:variant>
        <vt:i4>0</vt:i4>
      </vt:variant>
      <vt:variant>
        <vt:i4>5</vt:i4>
      </vt:variant>
      <vt:variant>
        <vt:lpwstr>https://www.toronto.ca/city-government/planning-development/official-plan-guidelines/toronto-green-standard/toronto-green-standard-version-4/existing-buildings/</vt:lpwstr>
      </vt:variant>
      <vt:variant>
        <vt:lpwstr/>
      </vt:variant>
      <vt:variant>
        <vt:i4>5898251</vt:i4>
      </vt:variant>
      <vt:variant>
        <vt:i4>372</vt:i4>
      </vt:variant>
      <vt:variant>
        <vt:i4>0</vt:i4>
      </vt:variant>
      <vt:variant>
        <vt:i4>5</vt:i4>
      </vt:variant>
      <vt:variant>
        <vt:lpwstr>https://www.toronto.ca/wp-content/uploads/2022/03/8e69-City-Planning-TGS-Checklist-Version-4-Mid-to-High-Rise-and-Non-Residential.pdf</vt:lpwstr>
      </vt:variant>
      <vt:variant>
        <vt:lpwstr/>
      </vt:variant>
      <vt:variant>
        <vt:i4>1966145</vt:i4>
      </vt:variant>
      <vt:variant>
        <vt:i4>369</vt:i4>
      </vt:variant>
      <vt:variant>
        <vt:i4>0</vt:i4>
      </vt:variant>
      <vt:variant>
        <vt:i4>5</vt:i4>
      </vt:variant>
      <vt:variant>
        <vt:lpwstr>https://www.toronto.ca/city-government/planning-development/official-plan-guidelines/toronto-green-standard/toronto-green-standard-version-4/</vt:lpwstr>
      </vt:variant>
      <vt:variant>
        <vt:lpwstr/>
      </vt:variant>
      <vt:variant>
        <vt:i4>5570647</vt:i4>
      </vt:variant>
      <vt:variant>
        <vt:i4>366</vt:i4>
      </vt:variant>
      <vt:variant>
        <vt:i4>0</vt:i4>
      </vt:variant>
      <vt:variant>
        <vt:i4>5</vt:i4>
      </vt:variant>
      <vt:variant>
        <vt:lpwstr>https://www.toronto.ca/city-government/planning-development/official-plan-guidelines/toronto-green-standard/</vt:lpwstr>
      </vt:variant>
      <vt:variant>
        <vt:lpwstr/>
      </vt:variant>
      <vt:variant>
        <vt:i4>5570647</vt:i4>
      </vt:variant>
      <vt:variant>
        <vt:i4>363</vt:i4>
      </vt:variant>
      <vt:variant>
        <vt:i4>0</vt:i4>
      </vt:variant>
      <vt:variant>
        <vt:i4>5</vt:i4>
      </vt:variant>
      <vt:variant>
        <vt:lpwstr>https://www.toronto.ca/city-government/planning-development/official-plan-guidelines/toronto-green-standard/</vt:lpwstr>
      </vt:variant>
      <vt:variant>
        <vt:lpwstr/>
      </vt:variant>
      <vt:variant>
        <vt:i4>6815858</vt:i4>
      </vt:variant>
      <vt:variant>
        <vt:i4>360</vt:i4>
      </vt:variant>
      <vt:variant>
        <vt:i4>0</vt:i4>
      </vt:variant>
      <vt:variant>
        <vt:i4>5</vt:i4>
      </vt:variant>
      <vt:variant>
        <vt:lpwstr>https://www.cagbc.org/our-work/certification/zero-carbon-building-standard/</vt:lpwstr>
      </vt:variant>
      <vt:variant>
        <vt:lpwstr/>
      </vt:variant>
      <vt:variant>
        <vt:i4>3473465</vt:i4>
      </vt:variant>
      <vt:variant>
        <vt:i4>357</vt:i4>
      </vt:variant>
      <vt:variant>
        <vt:i4>0</vt:i4>
      </vt:variant>
      <vt:variant>
        <vt:i4>5</vt:i4>
      </vt:variant>
      <vt:variant>
        <vt:lpwstr>https://www.cagbc.org/our-work/certification/leed/</vt:lpwstr>
      </vt:variant>
      <vt:variant>
        <vt:lpwstr/>
      </vt:variant>
      <vt:variant>
        <vt:i4>393218</vt:i4>
      </vt:variant>
      <vt:variant>
        <vt:i4>354</vt:i4>
      </vt:variant>
      <vt:variant>
        <vt:i4>0</vt:i4>
      </vt:variant>
      <vt:variant>
        <vt:i4>5</vt:i4>
      </vt:variant>
      <vt:variant>
        <vt:lpwstr>https://bomabest.org/</vt:lpwstr>
      </vt:variant>
      <vt:variant>
        <vt:lpwstr/>
      </vt:variant>
      <vt:variant>
        <vt:i4>2490469</vt:i4>
      </vt:variant>
      <vt:variant>
        <vt:i4>351</vt:i4>
      </vt:variant>
      <vt:variant>
        <vt:i4>0</vt:i4>
      </vt:variant>
      <vt:variant>
        <vt:i4>5</vt:i4>
      </vt:variant>
      <vt:variant>
        <vt:lpwstr>https://assets.new.siemens.com/siemens/assets/api/uuid:0afaa259-b721-4bc3-8830-ace5269ced2f/ca-ifl-en-case-study-algonquin-2021.pdf</vt:lpwstr>
      </vt:variant>
      <vt:variant>
        <vt:lpwstr/>
      </vt:variant>
      <vt:variant>
        <vt:i4>5242949</vt:i4>
      </vt:variant>
      <vt:variant>
        <vt:i4>348</vt:i4>
      </vt:variant>
      <vt:variant>
        <vt:i4>0</vt:i4>
      </vt:variant>
      <vt:variant>
        <vt:i4>5</vt:i4>
      </vt:variant>
      <vt:variant>
        <vt:lpwstr>https://stars.aashe.org/about-stars/</vt:lpwstr>
      </vt:variant>
      <vt:variant>
        <vt:lpwstr/>
      </vt:variant>
      <vt:variant>
        <vt:i4>2031665</vt:i4>
      </vt:variant>
      <vt:variant>
        <vt:i4>332</vt:i4>
      </vt:variant>
      <vt:variant>
        <vt:i4>0</vt:i4>
      </vt:variant>
      <vt:variant>
        <vt:i4>5</vt:i4>
      </vt:variant>
      <vt:variant>
        <vt:lpwstr/>
      </vt:variant>
      <vt:variant>
        <vt:lpwstr>_Toc185405516</vt:lpwstr>
      </vt:variant>
      <vt:variant>
        <vt:i4>2031665</vt:i4>
      </vt:variant>
      <vt:variant>
        <vt:i4>326</vt:i4>
      </vt:variant>
      <vt:variant>
        <vt:i4>0</vt:i4>
      </vt:variant>
      <vt:variant>
        <vt:i4>5</vt:i4>
      </vt:variant>
      <vt:variant>
        <vt:lpwstr/>
      </vt:variant>
      <vt:variant>
        <vt:lpwstr>_Toc185405515</vt:lpwstr>
      </vt:variant>
      <vt:variant>
        <vt:i4>2031665</vt:i4>
      </vt:variant>
      <vt:variant>
        <vt:i4>320</vt:i4>
      </vt:variant>
      <vt:variant>
        <vt:i4>0</vt:i4>
      </vt:variant>
      <vt:variant>
        <vt:i4>5</vt:i4>
      </vt:variant>
      <vt:variant>
        <vt:lpwstr/>
      </vt:variant>
      <vt:variant>
        <vt:lpwstr>_Toc185405514</vt:lpwstr>
      </vt:variant>
      <vt:variant>
        <vt:i4>2031665</vt:i4>
      </vt:variant>
      <vt:variant>
        <vt:i4>314</vt:i4>
      </vt:variant>
      <vt:variant>
        <vt:i4>0</vt:i4>
      </vt:variant>
      <vt:variant>
        <vt:i4>5</vt:i4>
      </vt:variant>
      <vt:variant>
        <vt:lpwstr/>
      </vt:variant>
      <vt:variant>
        <vt:lpwstr>_Toc185405513</vt:lpwstr>
      </vt:variant>
      <vt:variant>
        <vt:i4>2031665</vt:i4>
      </vt:variant>
      <vt:variant>
        <vt:i4>308</vt:i4>
      </vt:variant>
      <vt:variant>
        <vt:i4>0</vt:i4>
      </vt:variant>
      <vt:variant>
        <vt:i4>5</vt:i4>
      </vt:variant>
      <vt:variant>
        <vt:lpwstr/>
      </vt:variant>
      <vt:variant>
        <vt:lpwstr>_Toc185405512</vt:lpwstr>
      </vt:variant>
      <vt:variant>
        <vt:i4>2031665</vt:i4>
      </vt:variant>
      <vt:variant>
        <vt:i4>302</vt:i4>
      </vt:variant>
      <vt:variant>
        <vt:i4>0</vt:i4>
      </vt:variant>
      <vt:variant>
        <vt:i4>5</vt:i4>
      </vt:variant>
      <vt:variant>
        <vt:lpwstr/>
      </vt:variant>
      <vt:variant>
        <vt:lpwstr>_Toc185405511</vt:lpwstr>
      </vt:variant>
      <vt:variant>
        <vt:i4>2031665</vt:i4>
      </vt:variant>
      <vt:variant>
        <vt:i4>296</vt:i4>
      </vt:variant>
      <vt:variant>
        <vt:i4>0</vt:i4>
      </vt:variant>
      <vt:variant>
        <vt:i4>5</vt:i4>
      </vt:variant>
      <vt:variant>
        <vt:lpwstr/>
      </vt:variant>
      <vt:variant>
        <vt:lpwstr>_Toc185405510</vt:lpwstr>
      </vt:variant>
      <vt:variant>
        <vt:i4>1966129</vt:i4>
      </vt:variant>
      <vt:variant>
        <vt:i4>290</vt:i4>
      </vt:variant>
      <vt:variant>
        <vt:i4>0</vt:i4>
      </vt:variant>
      <vt:variant>
        <vt:i4>5</vt:i4>
      </vt:variant>
      <vt:variant>
        <vt:lpwstr/>
      </vt:variant>
      <vt:variant>
        <vt:lpwstr>_Toc185405509</vt:lpwstr>
      </vt:variant>
      <vt:variant>
        <vt:i4>1966129</vt:i4>
      </vt:variant>
      <vt:variant>
        <vt:i4>284</vt:i4>
      </vt:variant>
      <vt:variant>
        <vt:i4>0</vt:i4>
      </vt:variant>
      <vt:variant>
        <vt:i4>5</vt:i4>
      </vt:variant>
      <vt:variant>
        <vt:lpwstr/>
      </vt:variant>
      <vt:variant>
        <vt:lpwstr>_Toc185405508</vt:lpwstr>
      </vt:variant>
      <vt:variant>
        <vt:i4>1966129</vt:i4>
      </vt:variant>
      <vt:variant>
        <vt:i4>278</vt:i4>
      </vt:variant>
      <vt:variant>
        <vt:i4>0</vt:i4>
      </vt:variant>
      <vt:variant>
        <vt:i4>5</vt:i4>
      </vt:variant>
      <vt:variant>
        <vt:lpwstr/>
      </vt:variant>
      <vt:variant>
        <vt:lpwstr>_Toc185405507</vt:lpwstr>
      </vt:variant>
      <vt:variant>
        <vt:i4>1966129</vt:i4>
      </vt:variant>
      <vt:variant>
        <vt:i4>272</vt:i4>
      </vt:variant>
      <vt:variant>
        <vt:i4>0</vt:i4>
      </vt:variant>
      <vt:variant>
        <vt:i4>5</vt:i4>
      </vt:variant>
      <vt:variant>
        <vt:lpwstr/>
      </vt:variant>
      <vt:variant>
        <vt:lpwstr>_Toc185405506</vt:lpwstr>
      </vt:variant>
      <vt:variant>
        <vt:i4>1966129</vt:i4>
      </vt:variant>
      <vt:variant>
        <vt:i4>266</vt:i4>
      </vt:variant>
      <vt:variant>
        <vt:i4>0</vt:i4>
      </vt:variant>
      <vt:variant>
        <vt:i4>5</vt:i4>
      </vt:variant>
      <vt:variant>
        <vt:lpwstr/>
      </vt:variant>
      <vt:variant>
        <vt:lpwstr>_Toc185405505</vt:lpwstr>
      </vt:variant>
      <vt:variant>
        <vt:i4>1966129</vt:i4>
      </vt:variant>
      <vt:variant>
        <vt:i4>260</vt:i4>
      </vt:variant>
      <vt:variant>
        <vt:i4>0</vt:i4>
      </vt:variant>
      <vt:variant>
        <vt:i4>5</vt:i4>
      </vt:variant>
      <vt:variant>
        <vt:lpwstr/>
      </vt:variant>
      <vt:variant>
        <vt:lpwstr>_Toc185405504</vt:lpwstr>
      </vt:variant>
      <vt:variant>
        <vt:i4>1966129</vt:i4>
      </vt:variant>
      <vt:variant>
        <vt:i4>254</vt:i4>
      </vt:variant>
      <vt:variant>
        <vt:i4>0</vt:i4>
      </vt:variant>
      <vt:variant>
        <vt:i4>5</vt:i4>
      </vt:variant>
      <vt:variant>
        <vt:lpwstr/>
      </vt:variant>
      <vt:variant>
        <vt:lpwstr>_Toc185405503</vt:lpwstr>
      </vt:variant>
      <vt:variant>
        <vt:i4>1966129</vt:i4>
      </vt:variant>
      <vt:variant>
        <vt:i4>248</vt:i4>
      </vt:variant>
      <vt:variant>
        <vt:i4>0</vt:i4>
      </vt:variant>
      <vt:variant>
        <vt:i4>5</vt:i4>
      </vt:variant>
      <vt:variant>
        <vt:lpwstr/>
      </vt:variant>
      <vt:variant>
        <vt:lpwstr>_Toc185405502</vt:lpwstr>
      </vt:variant>
      <vt:variant>
        <vt:i4>1966129</vt:i4>
      </vt:variant>
      <vt:variant>
        <vt:i4>242</vt:i4>
      </vt:variant>
      <vt:variant>
        <vt:i4>0</vt:i4>
      </vt:variant>
      <vt:variant>
        <vt:i4>5</vt:i4>
      </vt:variant>
      <vt:variant>
        <vt:lpwstr/>
      </vt:variant>
      <vt:variant>
        <vt:lpwstr>_Toc185405501</vt:lpwstr>
      </vt:variant>
      <vt:variant>
        <vt:i4>1966129</vt:i4>
      </vt:variant>
      <vt:variant>
        <vt:i4>236</vt:i4>
      </vt:variant>
      <vt:variant>
        <vt:i4>0</vt:i4>
      </vt:variant>
      <vt:variant>
        <vt:i4>5</vt:i4>
      </vt:variant>
      <vt:variant>
        <vt:lpwstr/>
      </vt:variant>
      <vt:variant>
        <vt:lpwstr>_Toc185405500</vt:lpwstr>
      </vt:variant>
      <vt:variant>
        <vt:i4>1507376</vt:i4>
      </vt:variant>
      <vt:variant>
        <vt:i4>230</vt:i4>
      </vt:variant>
      <vt:variant>
        <vt:i4>0</vt:i4>
      </vt:variant>
      <vt:variant>
        <vt:i4>5</vt:i4>
      </vt:variant>
      <vt:variant>
        <vt:lpwstr/>
      </vt:variant>
      <vt:variant>
        <vt:lpwstr>_Toc185405499</vt:lpwstr>
      </vt:variant>
      <vt:variant>
        <vt:i4>1507376</vt:i4>
      </vt:variant>
      <vt:variant>
        <vt:i4>224</vt:i4>
      </vt:variant>
      <vt:variant>
        <vt:i4>0</vt:i4>
      </vt:variant>
      <vt:variant>
        <vt:i4>5</vt:i4>
      </vt:variant>
      <vt:variant>
        <vt:lpwstr/>
      </vt:variant>
      <vt:variant>
        <vt:lpwstr>_Toc185405498</vt:lpwstr>
      </vt:variant>
      <vt:variant>
        <vt:i4>1507376</vt:i4>
      </vt:variant>
      <vt:variant>
        <vt:i4>218</vt:i4>
      </vt:variant>
      <vt:variant>
        <vt:i4>0</vt:i4>
      </vt:variant>
      <vt:variant>
        <vt:i4>5</vt:i4>
      </vt:variant>
      <vt:variant>
        <vt:lpwstr/>
      </vt:variant>
      <vt:variant>
        <vt:lpwstr>_Toc185405497</vt:lpwstr>
      </vt:variant>
      <vt:variant>
        <vt:i4>1507376</vt:i4>
      </vt:variant>
      <vt:variant>
        <vt:i4>212</vt:i4>
      </vt:variant>
      <vt:variant>
        <vt:i4>0</vt:i4>
      </vt:variant>
      <vt:variant>
        <vt:i4>5</vt:i4>
      </vt:variant>
      <vt:variant>
        <vt:lpwstr/>
      </vt:variant>
      <vt:variant>
        <vt:lpwstr>_Toc185405496</vt:lpwstr>
      </vt:variant>
      <vt:variant>
        <vt:i4>1507376</vt:i4>
      </vt:variant>
      <vt:variant>
        <vt:i4>206</vt:i4>
      </vt:variant>
      <vt:variant>
        <vt:i4>0</vt:i4>
      </vt:variant>
      <vt:variant>
        <vt:i4>5</vt:i4>
      </vt:variant>
      <vt:variant>
        <vt:lpwstr/>
      </vt:variant>
      <vt:variant>
        <vt:lpwstr>_Toc185405495</vt:lpwstr>
      </vt:variant>
      <vt:variant>
        <vt:i4>1507376</vt:i4>
      </vt:variant>
      <vt:variant>
        <vt:i4>200</vt:i4>
      </vt:variant>
      <vt:variant>
        <vt:i4>0</vt:i4>
      </vt:variant>
      <vt:variant>
        <vt:i4>5</vt:i4>
      </vt:variant>
      <vt:variant>
        <vt:lpwstr/>
      </vt:variant>
      <vt:variant>
        <vt:lpwstr>_Toc185405494</vt:lpwstr>
      </vt:variant>
      <vt:variant>
        <vt:i4>1507376</vt:i4>
      </vt:variant>
      <vt:variant>
        <vt:i4>194</vt:i4>
      </vt:variant>
      <vt:variant>
        <vt:i4>0</vt:i4>
      </vt:variant>
      <vt:variant>
        <vt:i4>5</vt:i4>
      </vt:variant>
      <vt:variant>
        <vt:lpwstr/>
      </vt:variant>
      <vt:variant>
        <vt:lpwstr>_Toc185405493</vt:lpwstr>
      </vt:variant>
      <vt:variant>
        <vt:i4>1507376</vt:i4>
      </vt:variant>
      <vt:variant>
        <vt:i4>188</vt:i4>
      </vt:variant>
      <vt:variant>
        <vt:i4>0</vt:i4>
      </vt:variant>
      <vt:variant>
        <vt:i4>5</vt:i4>
      </vt:variant>
      <vt:variant>
        <vt:lpwstr/>
      </vt:variant>
      <vt:variant>
        <vt:lpwstr>_Toc185405492</vt:lpwstr>
      </vt:variant>
      <vt:variant>
        <vt:i4>1507376</vt:i4>
      </vt:variant>
      <vt:variant>
        <vt:i4>182</vt:i4>
      </vt:variant>
      <vt:variant>
        <vt:i4>0</vt:i4>
      </vt:variant>
      <vt:variant>
        <vt:i4>5</vt:i4>
      </vt:variant>
      <vt:variant>
        <vt:lpwstr/>
      </vt:variant>
      <vt:variant>
        <vt:lpwstr>_Toc185405491</vt:lpwstr>
      </vt:variant>
      <vt:variant>
        <vt:i4>1507376</vt:i4>
      </vt:variant>
      <vt:variant>
        <vt:i4>176</vt:i4>
      </vt:variant>
      <vt:variant>
        <vt:i4>0</vt:i4>
      </vt:variant>
      <vt:variant>
        <vt:i4>5</vt:i4>
      </vt:variant>
      <vt:variant>
        <vt:lpwstr/>
      </vt:variant>
      <vt:variant>
        <vt:lpwstr>_Toc185405490</vt:lpwstr>
      </vt:variant>
      <vt:variant>
        <vt:i4>1441840</vt:i4>
      </vt:variant>
      <vt:variant>
        <vt:i4>170</vt:i4>
      </vt:variant>
      <vt:variant>
        <vt:i4>0</vt:i4>
      </vt:variant>
      <vt:variant>
        <vt:i4>5</vt:i4>
      </vt:variant>
      <vt:variant>
        <vt:lpwstr/>
      </vt:variant>
      <vt:variant>
        <vt:lpwstr>_Toc185405489</vt:lpwstr>
      </vt:variant>
      <vt:variant>
        <vt:i4>1441840</vt:i4>
      </vt:variant>
      <vt:variant>
        <vt:i4>164</vt:i4>
      </vt:variant>
      <vt:variant>
        <vt:i4>0</vt:i4>
      </vt:variant>
      <vt:variant>
        <vt:i4>5</vt:i4>
      </vt:variant>
      <vt:variant>
        <vt:lpwstr/>
      </vt:variant>
      <vt:variant>
        <vt:lpwstr>_Toc185405488</vt:lpwstr>
      </vt:variant>
      <vt:variant>
        <vt:i4>1441840</vt:i4>
      </vt:variant>
      <vt:variant>
        <vt:i4>158</vt:i4>
      </vt:variant>
      <vt:variant>
        <vt:i4>0</vt:i4>
      </vt:variant>
      <vt:variant>
        <vt:i4>5</vt:i4>
      </vt:variant>
      <vt:variant>
        <vt:lpwstr/>
      </vt:variant>
      <vt:variant>
        <vt:lpwstr>_Toc185405487</vt:lpwstr>
      </vt:variant>
      <vt:variant>
        <vt:i4>1441840</vt:i4>
      </vt:variant>
      <vt:variant>
        <vt:i4>152</vt:i4>
      </vt:variant>
      <vt:variant>
        <vt:i4>0</vt:i4>
      </vt:variant>
      <vt:variant>
        <vt:i4>5</vt:i4>
      </vt:variant>
      <vt:variant>
        <vt:lpwstr/>
      </vt:variant>
      <vt:variant>
        <vt:lpwstr>_Toc185405486</vt:lpwstr>
      </vt:variant>
      <vt:variant>
        <vt:i4>1441840</vt:i4>
      </vt:variant>
      <vt:variant>
        <vt:i4>146</vt:i4>
      </vt:variant>
      <vt:variant>
        <vt:i4>0</vt:i4>
      </vt:variant>
      <vt:variant>
        <vt:i4>5</vt:i4>
      </vt:variant>
      <vt:variant>
        <vt:lpwstr/>
      </vt:variant>
      <vt:variant>
        <vt:lpwstr>_Toc185405485</vt:lpwstr>
      </vt:variant>
      <vt:variant>
        <vt:i4>1441840</vt:i4>
      </vt:variant>
      <vt:variant>
        <vt:i4>140</vt:i4>
      </vt:variant>
      <vt:variant>
        <vt:i4>0</vt:i4>
      </vt:variant>
      <vt:variant>
        <vt:i4>5</vt:i4>
      </vt:variant>
      <vt:variant>
        <vt:lpwstr/>
      </vt:variant>
      <vt:variant>
        <vt:lpwstr>_Toc185405484</vt:lpwstr>
      </vt:variant>
      <vt:variant>
        <vt:i4>1441840</vt:i4>
      </vt:variant>
      <vt:variant>
        <vt:i4>134</vt:i4>
      </vt:variant>
      <vt:variant>
        <vt:i4>0</vt:i4>
      </vt:variant>
      <vt:variant>
        <vt:i4>5</vt:i4>
      </vt:variant>
      <vt:variant>
        <vt:lpwstr/>
      </vt:variant>
      <vt:variant>
        <vt:lpwstr>_Toc185405483</vt:lpwstr>
      </vt:variant>
      <vt:variant>
        <vt:i4>1441840</vt:i4>
      </vt:variant>
      <vt:variant>
        <vt:i4>128</vt:i4>
      </vt:variant>
      <vt:variant>
        <vt:i4>0</vt:i4>
      </vt:variant>
      <vt:variant>
        <vt:i4>5</vt:i4>
      </vt:variant>
      <vt:variant>
        <vt:lpwstr/>
      </vt:variant>
      <vt:variant>
        <vt:lpwstr>_Toc185405482</vt:lpwstr>
      </vt:variant>
      <vt:variant>
        <vt:i4>1441840</vt:i4>
      </vt:variant>
      <vt:variant>
        <vt:i4>122</vt:i4>
      </vt:variant>
      <vt:variant>
        <vt:i4>0</vt:i4>
      </vt:variant>
      <vt:variant>
        <vt:i4>5</vt:i4>
      </vt:variant>
      <vt:variant>
        <vt:lpwstr/>
      </vt:variant>
      <vt:variant>
        <vt:lpwstr>_Toc185405481</vt:lpwstr>
      </vt:variant>
      <vt:variant>
        <vt:i4>1441840</vt:i4>
      </vt:variant>
      <vt:variant>
        <vt:i4>116</vt:i4>
      </vt:variant>
      <vt:variant>
        <vt:i4>0</vt:i4>
      </vt:variant>
      <vt:variant>
        <vt:i4>5</vt:i4>
      </vt:variant>
      <vt:variant>
        <vt:lpwstr/>
      </vt:variant>
      <vt:variant>
        <vt:lpwstr>_Toc185405480</vt:lpwstr>
      </vt:variant>
      <vt:variant>
        <vt:i4>1638448</vt:i4>
      </vt:variant>
      <vt:variant>
        <vt:i4>110</vt:i4>
      </vt:variant>
      <vt:variant>
        <vt:i4>0</vt:i4>
      </vt:variant>
      <vt:variant>
        <vt:i4>5</vt:i4>
      </vt:variant>
      <vt:variant>
        <vt:lpwstr/>
      </vt:variant>
      <vt:variant>
        <vt:lpwstr>_Toc185405479</vt:lpwstr>
      </vt:variant>
      <vt:variant>
        <vt:i4>1638448</vt:i4>
      </vt:variant>
      <vt:variant>
        <vt:i4>104</vt:i4>
      </vt:variant>
      <vt:variant>
        <vt:i4>0</vt:i4>
      </vt:variant>
      <vt:variant>
        <vt:i4>5</vt:i4>
      </vt:variant>
      <vt:variant>
        <vt:lpwstr/>
      </vt:variant>
      <vt:variant>
        <vt:lpwstr>_Toc185405478</vt:lpwstr>
      </vt:variant>
      <vt:variant>
        <vt:i4>1638448</vt:i4>
      </vt:variant>
      <vt:variant>
        <vt:i4>98</vt:i4>
      </vt:variant>
      <vt:variant>
        <vt:i4>0</vt:i4>
      </vt:variant>
      <vt:variant>
        <vt:i4>5</vt:i4>
      </vt:variant>
      <vt:variant>
        <vt:lpwstr/>
      </vt:variant>
      <vt:variant>
        <vt:lpwstr>_Toc185405477</vt:lpwstr>
      </vt:variant>
      <vt:variant>
        <vt:i4>1638448</vt:i4>
      </vt:variant>
      <vt:variant>
        <vt:i4>92</vt:i4>
      </vt:variant>
      <vt:variant>
        <vt:i4>0</vt:i4>
      </vt:variant>
      <vt:variant>
        <vt:i4>5</vt:i4>
      </vt:variant>
      <vt:variant>
        <vt:lpwstr/>
      </vt:variant>
      <vt:variant>
        <vt:lpwstr>_Toc185405476</vt:lpwstr>
      </vt:variant>
      <vt:variant>
        <vt:i4>1638448</vt:i4>
      </vt:variant>
      <vt:variant>
        <vt:i4>86</vt:i4>
      </vt:variant>
      <vt:variant>
        <vt:i4>0</vt:i4>
      </vt:variant>
      <vt:variant>
        <vt:i4>5</vt:i4>
      </vt:variant>
      <vt:variant>
        <vt:lpwstr/>
      </vt:variant>
      <vt:variant>
        <vt:lpwstr>_Toc185405475</vt:lpwstr>
      </vt:variant>
      <vt:variant>
        <vt:i4>1638448</vt:i4>
      </vt:variant>
      <vt:variant>
        <vt:i4>80</vt:i4>
      </vt:variant>
      <vt:variant>
        <vt:i4>0</vt:i4>
      </vt:variant>
      <vt:variant>
        <vt:i4>5</vt:i4>
      </vt:variant>
      <vt:variant>
        <vt:lpwstr/>
      </vt:variant>
      <vt:variant>
        <vt:lpwstr>_Toc185405474</vt:lpwstr>
      </vt:variant>
      <vt:variant>
        <vt:i4>1638448</vt:i4>
      </vt:variant>
      <vt:variant>
        <vt:i4>74</vt:i4>
      </vt:variant>
      <vt:variant>
        <vt:i4>0</vt:i4>
      </vt:variant>
      <vt:variant>
        <vt:i4>5</vt:i4>
      </vt:variant>
      <vt:variant>
        <vt:lpwstr/>
      </vt:variant>
      <vt:variant>
        <vt:lpwstr>_Toc185405473</vt:lpwstr>
      </vt:variant>
      <vt:variant>
        <vt:i4>1638448</vt:i4>
      </vt:variant>
      <vt:variant>
        <vt:i4>68</vt:i4>
      </vt:variant>
      <vt:variant>
        <vt:i4>0</vt:i4>
      </vt:variant>
      <vt:variant>
        <vt:i4>5</vt:i4>
      </vt:variant>
      <vt:variant>
        <vt:lpwstr/>
      </vt:variant>
      <vt:variant>
        <vt:lpwstr>_Toc185405472</vt:lpwstr>
      </vt:variant>
      <vt:variant>
        <vt:i4>1638448</vt:i4>
      </vt:variant>
      <vt:variant>
        <vt:i4>62</vt:i4>
      </vt:variant>
      <vt:variant>
        <vt:i4>0</vt:i4>
      </vt:variant>
      <vt:variant>
        <vt:i4>5</vt:i4>
      </vt:variant>
      <vt:variant>
        <vt:lpwstr/>
      </vt:variant>
      <vt:variant>
        <vt:lpwstr>_Toc185405471</vt:lpwstr>
      </vt:variant>
      <vt:variant>
        <vt:i4>1638448</vt:i4>
      </vt:variant>
      <vt:variant>
        <vt:i4>56</vt:i4>
      </vt:variant>
      <vt:variant>
        <vt:i4>0</vt:i4>
      </vt:variant>
      <vt:variant>
        <vt:i4>5</vt:i4>
      </vt:variant>
      <vt:variant>
        <vt:lpwstr/>
      </vt:variant>
      <vt:variant>
        <vt:lpwstr>_Toc185405470</vt:lpwstr>
      </vt:variant>
      <vt:variant>
        <vt:i4>1572912</vt:i4>
      </vt:variant>
      <vt:variant>
        <vt:i4>50</vt:i4>
      </vt:variant>
      <vt:variant>
        <vt:i4>0</vt:i4>
      </vt:variant>
      <vt:variant>
        <vt:i4>5</vt:i4>
      </vt:variant>
      <vt:variant>
        <vt:lpwstr/>
      </vt:variant>
      <vt:variant>
        <vt:lpwstr>_Toc185405469</vt:lpwstr>
      </vt:variant>
      <vt:variant>
        <vt:i4>1572912</vt:i4>
      </vt:variant>
      <vt:variant>
        <vt:i4>44</vt:i4>
      </vt:variant>
      <vt:variant>
        <vt:i4>0</vt:i4>
      </vt:variant>
      <vt:variant>
        <vt:i4>5</vt:i4>
      </vt:variant>
      <vt:variant>
        <vt:lpwstr/>
      </vt:variant>
      <vt:variant>
        <vt:lpwstr>_Toc185405468</vt:lpwstr>
      </vt:variant>
      <vt:variant>
        <vt:i4>1572912</vt:i4>
      </vt:variant>
      <vt:variant>
        <vt:i4>38</vt:i4>
      </vt:variant>
      <vt:variant>
        <vt:i4>0</vt:i4>
      </vt:variant>
      <vt:variant>
        <vt:i4>5</vt:i4>
      </vt:variant>
      <vt:variant>
        <vt:lpwstr/>
      </vt:variant>
      <vt:variant>
        <vt:lpwstr>_Toc185405467</vt:lpwstr>
      </vt:variant>
      <vt:variant>
        <vt:i4>1572912</vt:i4>
      </vt:variant>
      <vt:variant>
        <vt:i4>32</vt:i4>
      </vt:variant>
      <vt:variant>
        <vt:i4>0</vt:i4>
      </vt:variant>
      <vt:variant>
        <vt:i4>5</vt:i4>
      </vt:variant>
      <vt:variant>
        <vt:lpwstr/>
      </vt:variant>
      <vt:variant>
        <vt:lpwstr>_Toc185405466</vt:lpwstr>
      </vt:variant>
      <vt:variant>
        <vt:i4>1572912</vt:i4>
      </vt:variant>
      <vt:variant>
        <vt:i4>26</vt:i4>
      </vt:variant>
      <vt:variant>
        <vt:i4>0</vt:i4>
      </vt:variant>
      <vt:variant>
        <vt:i4>5</vt:i4>
      </vt:variant>
      <vt:variant>
        <vt:lpwstr/>
      </vt:variant>
      <vt:variant>
        <vt:lpwstr>_Toc185405465</vt:lpwstr>
      </vt:variant>
      <vt:variant>
        <vt:i4>1572912</vt:i4>
      </vt:variant>
      <vt:variant>
        <vt:i4>20</vt:i4>
      </vt:variant>
      <vt:variant>
        <vt:i4>0</vt:i4>
      </vt:variant>
      <vt:variant>
        <vt:i4>5</vt:i4>
      </vt:variant>
      <vt:variant>
        <vt:lpwstr/>
      </vt:variant>
      <vt:variant>
        <vt:lpwstr>_Toc185405464</vt:lpwstr>
      </vt:variant>
      <vt:variant>
        <vt:i4>1572912</vt:i4>
      </vt:variant>
      <vt:variant>
        <vt:i4>14</vt:i4>
      </vt:variant>
      <vt:variant>
        <vt:i4>0</vt:i4>
      </vt:variant>
      <vt:variant>
        <vt:i4>5</vt:i4>
      </vt:variant>
      <vt:variant>
        <vt:lpwstr/>
      </vt:variant>
      <vt:variant>
        <vt:lpwstr>_Toc185405463</vt:lpwstr>
      </vt:variant>
      <vt:variant>
        <vt:i4>1572912</vt:i4>
      </vt:variant>
      <vt:variant>
        <vt:i4>8</vt:i4>
      </vt:variant>
      <vt:variant>
        <vt:i4>0</vt:i4>
      </vt:variant>
      <vt:variant>
        <vt:i4>5</vt:i4>
      </vt:variant>
      <vt:variant>
        <vt:lpwstr/>
      </vt:variant>
      <vt:variant>
        <vt:lpwstr>_Toc185405462</vt:lpwstr>
      </vt:variant>
      <vt:variant>
        <vt:i4>1572912</vt:i4>
      </vt:variant>
      <vt:variant>
        <vt:i4>2</vt:i4>
      </vt:variant>
      <vt:variant>
        <vt:i4>0</vt:i4>
      </vt:variant>
      <vt:variant>
        <vt:i4>5</vt:i4>
      </vt:variant>
      <vt:variant>
        <vt:lpwstr/>
      </vt:variant>
      <vt:variant>
        <vt:lpwstr>_Toc185405461</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Nicole Arsenault</dc:creator>
  <cp:keywords/>
  <dc:description/>
  <cp:lastModifiedBy>Nicole Arsenault</cp:lastModifiedBy>
  <cp:revision>2</cp:revision>
  <cp:lastPrinted>2021-10-06T15:59:00Z</cp:lastPrinted>
  <dcterms:created xsi:type="dcterms:W3CDTF">2026-06-12T16:55:00Z</dcterms:created>
  <dcterms:modified xsi:type="dcterms:W3CDTF">2026-06-12T16:55:00Z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0x010100B39C7F46346F0A44916EC8F1F0994BD6</vt:lpwstr>
  </property>
  <property fmtid="{D5CDD505-2E9C-101B-9397-08002B2CF9AE}" pid="3" name="Order">
    <vt:r8>7368400</vt:r8>
  </property>
  <property fmtid="{D5CDD505-2E9C-101B-9397-08002B2CF9AE}" pid="4" name="xd_Signature">
    <vt:bool>false</vt:bool>
  </property>
  <property fmtid="{D5CDD505-2E9C-101B-9397-08002B2CF9AE}" pid="5" name="xd_ProgID">
    <vt:lpwstr/>
  </property>
  <property fmtid="{D5CDD505-2E9C-101B-9397-08002B2CF9AE}" pid="6" name="ComplianceAssetId">
    <vt:lpwstr/>
  </property>
  <property fmtid="{D5CDD505-2E9C-101B-9397-08002B2CF9AE}" pid="7" name="TemplateUrl">
    <vt:lpwstr/>
  </property>
  <property fmtid="{D5CDD505-2E9C-101B-9397-08002B2CF9AE}" pid="8" name="_ExtendedDescription">
    <vt:lpwstr/>
  </property>
  <property fmtid="{D5CDD505-2E9C-101B-9397-08002B2CF9AE}" pid="9" name="TriggerFlowInfo">
    <vt:lpwstr/>
  </property>
  <property fmtid="{D5CDD505-2E9C-101B-9397-08002B2CF9AE}" pid="10" name="MediaServiceImageTags">
    <vt:lpwstr/>
  </property>
</Properties>
</file>