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FB10C16" w14:textId="77777777" w:rsidR="00C72A26" w:rsidRDefault="00C72A26" w:rsidP="00C72A26">
      <w:pPr>
        <w:spacing w:after="240"/>
        <w:rPr>
          <w:rFonts w:ascii="IBM Plex Sans" w:hAnsi="IBM Plex Sans"/>
          <w:b/>
        </w:rPr>
      </w:pPr>
      <w:r w:rsidRPr="00C72A26">
        <w:rPr>
          <w:rFonts w:ascii="IBM Plex Sans" w:hAnsi="IBM Plex Sans"/>
        </w:rPr>
        <w:t xml:space="preserve">The table below offers a worksheet to assist you in brainstorming and building up your course learning outcomes.  An </w:t>
      </w:r>
      <w:r w:rsidRPr="00C72A26">
        <w:rPr>
          <w:rFonts w:ascii="IBM Plex Sans" w:hAnsi="IBM Plex Sans"/>
          <w:b/>
        </w:rPr>
        <w:t>example to illustrate how to use the table is offered below as a starting point.</w:t>
      </w:r>
    </w:p>
    <w:tbl>
      <w:tblPr>
        <w:tblStyle w:val="TableGrid"/>
        <w:tblW w:w="0" w:type="auto"/>
        <w:tblLook w:val="04A0" w:firstRow="1" w:lastRow="0" w:firstColumn="1" w:lastColumn="0" w:noHBand="0" w:noVBand="1"/>
      </w:tblPr>
      <w:tblGrid>
        <w:gridCol w:w="3454"/>
        <w:gridCol w:w="2211"/>
        <w:gridCol w:w="3119"/>
        <w:gridCol w:w="3544"/>
        <w:gridCol w:w="4318"/>
      </w:tblGrid>
      <w:tr w:rsidR="00C72A26" w14:paraId="33B04775" w14:textId="77777777" w:rsidTr="009B0967">
        <w:tc>
          <w:tcPr>
            <w:tcW w:w="3454" w:type="dxa"/>
          </w:tcPr>
          <w:p w14:paraId="38FC0AAA" w14:textId="77777777" w:rsidR="00C72A26" w:rsidRPr="001324CC" w:rsidRDefault="00C72A26" w:rsidP="00C72A26">
            <w:pPr>
              <w:jc w:val="center"/>
              <w:rPr>
                <w:rFonts w:ascii="IBM Plex Sans" w:hAnsi="IBM Plex Sans"/>
                <w:sz w:val="28"/>
                <w:szCs w:val="28"/>
              </w:rPr>
            </w:pPr>
            <w:r w:rsidRPr="001324CC">
              <w:rPr>
                <w:rFonts w:ascii="IBM Plex Sans" w:hAnsi="IBM Plex Sans"/>
                <w:b/>
                <w:sz w:val="28"/>
                <w:szCs w:val="28"/>
              </w:rPr>
              <w:t>Essential skills, knowledge, attitudes</w:t>
            </w:r>
          </w:p>
          <w:p w14:paraId="5E077DA1" w14:textId="3831EACF" w:rsidR="00C72A26" w:rsidRPr="001324CC" w:rsidRDefault="00C72A26" w:rsidP="00C72A26">
            <w:pPr>
              <w:rPr>
                <w:rFonts w:ascii="IBM Plex Sans" w:hAnsi="IBM Plex Sans"/>
                <w:b/>
              </w:rPr>
            </w:pPr>
            <w:r w:rsidRPr="001324CC">
              <w:rPr>
                <w:rFonts w:ascii="IBM Plex Sans" w:hAnsi="IBM Plex Sans"/>
                <w:i/>
              </w:rPr>
              <w:t>Tip: consider big categories of related concepts, procedures, values, etc. in your course</w:t>
            </w:r>
            <w:r w:rsidRPr="001324CC">
              <w:rPr>
                <w:rFonts w:ascii="IBM Plex Sans" w:hAnsi="IBM Plex Sans" w:cstheme="minorHAnsi"/>
                <w:i/>
              </w:rPr>
              <w:t>.</w:t>
            </w:r>
          </w:p>
        </w:tc>
        <w:tc>
          <w:tcPr>
            <w:tcW w:w="2211" w:type="dxa"/>
          </w:tcPr>
          <w:p w14:paraId="6A0551AA" w14:textId="77777777" w:rsidR="00C72A26" w:rsidRPr="001324CC" w:rsidRDefault="00C72A26" w:rsidP="00C72A26">
            <w:pPr>
              <w:jc w:val="center"/>
              <w:rPr>
                <w:rFonts w:ascii="IBM Plex Sans" w:hAnsi="IBM Plex Sans"/>
                <w:b/>
                <w:sz w:val="28"/>
                <w:szCs w:val="28"/>
              </w:rPr>
            </w:pPr>
            <w:r w:rsidRPr="001324CC">
              <w:rPr>
                <w:rFonts w:ascii="IBM Plex Sans" w:hAnsi="IBM Plex Sans"/>
                <w:b/>
                <w:sz w:val="28"/>
                <w:szCs w:val="28"/>
              </w:rPr>
              <w:t>Level of competency</w:t>
            </w:r>
          </w:p>
          <w:p w14:paraId="606B73CF" w14:textId="17AAA05B" w:rsidR="00C72A26" w:rsidRPr="001324CC" w:rsidRDefault="00C72A26" w:rsidP="00C72A26">
            <w:pPr>
              <w:rPr>
                <w:rFonts w:ascii="IBM Plex Sans" w:hAnsi="IBM Plex Sans"/>
                <w:b/>
              </w:rPr>
            </w:pPr>
            <w:r w:rsidRPr="001324CC">
              <w:rPr>
                <w:rFonts w:ascii="IBM Plex Sans" w:hAnsi="IBM Plex Sans"/>
                <w:i/>
              </w:rPr>
              <w:t xml:space="preserve">Tip: use </w:t>
            </w:r>
            <w:hyperlink r:id="rId7" w:history="1">
              <w:r w:rsidRPr="001324CC">
                <w:rPr>
                  <w:rStyle w:val="Hyperlink"/>
                  <w:rFonts w:ascii="IBM Plex Sans" w:hAnsi="IBM Plex Sans"/>
                  <w:i/>
                </w:rPr>
                <w:t>Bloom’s</w:t>
              </w:r>
            </w:hyperlink>
            <w:r w:rsidRPr="001324CC">
              <w:rPr>
                <w:rFonts w:ascii="IBM Plex Sans" w:hAnsi="IBM Plex Sans"/>
                <w:i/>
              </w:rPr>
              <w:t xml:space="preserve"> / </w:t>
            </w:r>
            <w:hyperlink r:id="rId8" w:history="1">
              <w:r w:rsidRPr="00607FE1">
                <w:rPr>
                  <w:rStyle w:val="Hyperlink"/>
                  <w:rFonts w:ascii="IBM Plex Sans" w:hAnsi="IBM Plex Sans"/>
                  <w:i/>
                </w:rPr>
                <w:t>Fink’s</w:t>
              </w:r>
              <w:r w:rsidR="00AC6100" w:rsidRPr="00607FE1">
                <w:rPr>
                  <w:rStyle w:val="Hyperlink"/>
                </w:rPr>
                <w:t xml:space="preserve"> </w:t>
              </w:r>
              <w:r w:rsidR="00AC6100" w:rsidRPr="00607FE1">
                <w:rPr>
                  <w:rStyle w:val="Hyperlink"/>
                  <w:i/>
                  <w:iCs/>
                </w:rPr>
                <w:t>(Docx.)</w:t>
              </w:r>
            </w:hyperlink>
            <w:r w:rsidRPr="001324CC">
              <w:rPr>
                <w:rFonts w:ascii="IBM Plex Sans" w:hAnsi="IBM Plex Sans"/>
                <w:i/>
              </w:rPr>
              <w:t xml:space="preserve"> taxonomy.</w:t>
            </w:r>
          </w:p>
        </w:tc>
        <w:tc>
          <w:tcPr>
            <w:tcW w:w="3119" w:type="dxa"/>
          </w:tcPr>
          <w:p w14:paraId="25A3D68C" w14:textId="77777777" w:rsidR="00C72A26" w:rsidRPr="001324CC" w:rsidRDefault="00C72A26" w:rsidP="005A3C78">
            <w:pPr>
              <w:jc w:val="center"/>
              <w:rPr>
                <w:rFonts w:ascii="IBM Plex Sans" w:hAnsi="IBM Plex Sans"/>
                <w:b/>
                <w:sz w:val="28"/>
                <w:szCs w:val="28"/>
              </w:rPr>
            </w:pPr>
            <w:r w:rsidRPr="001324CC">
              <w:rPr>
                <w:rFonts w:ascii="IBM Plex Sans" w:hAnsi="IBM Plex Sans"/>
                <w:b/>
                <w:sz w:val="28"/>
                <w:szCs w:val="28"/>
              </w:rPr>
              <w:t>Context</w:t>
            </w:r>
          </w:p>
          <w:p w14:paraId="1546C2BD" w14:textId="196A9254" w:rsidR="00C72A26" w:rsidRPr="001324CC" w:rsidRDefault="00C72A26" w:rsidP="00C72A26">
            <w:pPr>
              <w:rPr>
                <w:rFonts w:ascii="IBM Plex Sans" w:hAnsi="IBM Plex Sans"/>
                <w:b/>
              </w:rPr>
            </w:pPr>
            <w:r w:rsidRPr="001324CC">
              <w:rPr>
                <w:rFonts w:ascii="IBM Plex Sans" w:hAnsi="IBM Plex Sans"/>
                <w:bCs/>
                <w:i/>
                <w:iCs/>
              </w:rPr>
              <w:t>Tip: why is this important?  What are the motivations?  What are the conditions for learning to take place?</w:t>
            </w:r>
          </w:p>
        </w:tc>
        <w:tc>
          <w:tcPr>
            <w:tcW w:w="3544" w:type="dxa"/>
          </w:tcPr>
          <w:p w14:paraId="09429203" w14:textId="77777777" w:rsidR="00C72A26" w:rsidRPr="001324CC" w:rsidRDefault="00C72A26" w:rsidP="005A3C78">
            <w:pPr>
              <w:jc w:val="center"/>
              <w:rPr>
                <w:rFonts w:ascii="IBM Plex Sans" w:hAnsi="IBM Plex Sans"/>
                <w:b/>
                <w:sz w:val="28"/>
                <w:szCs w:val="28"/>
              </w:rPr>
            </w:pPr>
            <w:r w:rsidRPr="001324CC">
              <w:rPr>
                <w:rFonts w:ascii="IBM Plex Sans" w:hAnsi="IBM Plex Sans"/>
                <w:b/>
                <w:bCs/>
                <w:noProof/>
                <w:sz w:val="28"/>
                <w:szCs w:val="28"/>
                <w:lang w:val="en-CA" w:eastAsia="en-CA"/>
              </w:rPr>
              <w:t>Criteria</w:t>
            </w:r>
          </w:p>
          <w:p w14:paraId="56A98DC6" w14:textId="59E83FB3" w:rsidR="00C72A26" w:rsidRPr="001324CC" w:rsidRDefault="00C72A26" w:rsidP="005A3C78">
            <w:pPr>
              <w:rPr>
                <w:rFonts w:ascii="IBM Plex Sans" w:hAnsi="IBM Plex Sans"/>
                <w:b/>
              </w:rPr>
            </w:pPr>
            <w:r w:rsidRPr="001324CC">
              <w:rPr>
                <w:rFonts w:ascii="IBM Plex Sans" w:hAnsi="IBM Plex Sans"/>
                <w:i/>
              </w:rPr>
              <w:t>Tip: how will learning be assessed?  What qualities are expected? What will be produced by students?</w:t>
            </w:r>
          </w:p>
        </w:tc>
        <w:tc>
          <w:tcPr>
            <w:tcW w:w="4318" w:type="dxa"/>
          </w:tcPr>
          <w:p w14:paraId="100E4AFC" w14:textId="77777777" w:rsidR="00C72A26" w:rsidRPr="001324CC" w:rsidRDefault="00C72A26" w:rsidP="005A3C78">
            <w:pPr>
              <w:jc w:val="center"/>
              <w:rPr>
                <w:rFonts w:ascii="IBM Plex Sans" w:hAnsi="IBM Plex Sans"/>
                <w:b/>
                <w:sz w:val="28"/>
                <w:szCs w:val="28"/>
              </w:rPr>
            </w:pPr>
            <w:r w:rsidRPr="001324CC">
              <w:rPr>
                <w:rFonts w:ascii="IBM Plex Sans" w:hAnsi="IBM Plex Sans"/>
                <w:b/>
                <w:sz w:val="28"/>
                <w:szCs w:val="28"/>
              </w:rPr>
              <w:t>Learning Outcomes</w:t>
            </w:r>
          </w:p>
          <w:p w14:paraId="41B0B8D9" w14:textId="52521CE5" w:rsidR="00C72A26" w:rsidRPr="001324CC" w:rsidRDefault="00C72A26" w:rsidP="00C72A26">
            <w:pPr>
              <w:rPr>
                <w:rFonts w:ascii="IBM Plex Sans" w:hAnsi="IBM Plex Sans"/>
                <w:b/>
              </w:rPr>
            </w:pPr>
            <w:r w:rsidRPr="001324CC">
              <w:rPr>
                <w:rFonts w:ascii="IBM Plex Sans" w:hAnsi="IBM Plex Sans"/>
                <w:i/>
              </w:rPr>
              <w:t xml:space="preserve">Tip: use the </w:t>
            </w:r>
            <w:hyperlink r:id="rId9" w:history="1">
              <w:r w:rsidRPr="001324CC">
                <w:rPr>
                  <w:rStyle w:val="Hyperlink"/>
                  <w:rFonts w:ascii="IBM Plex Sans" w:hAnsi="IBM Plex Sans"/>
                  <w:i/>
                </w:rPr>
                <w:t>w</w:t>
              </w:r>
              <w:r w:rsidR="005A3C78" w:rsidRPr="001324CC">
                <w:rPr>
                  <w:rStyle w:val="Hyperlink"/>
                  <w:rFonts w:ascii="IBM Plex Sans" w:hAnsi="IBM Plex Sans"/>
                  <w:i/>
                </w:rPr>
                <w:t>hat are effective</w:t>
              </w:r>
              <w:r w:rsidRPr="001324CC">
                <w:rPr>
                  <w:rStyle w:val="Hyperlink"/>
                  <w:rFonts w:ascii="IBM Plex Sans" w:hAnsi="IBM Plex Sans"/>
                  <w:i/>
                </w:rPr>
                <w:t xml:space="preserve"> learning outcome</w:t>
              </w:r>
              <w:r w:rsidR="005A3C78" w:rsidRPr="001324CC">
                <w:rPr>
                  <w:rStyle w:val="Hyperlink"/>
                  <w:rFonts w:ascii="IBM Plex Sans" w:hAnsi="IBM Plex Sans"/>
                  <w:i/>
                </w:rPr>
                <w:t xml:space="preserve"> </w:t>
              </w:r>
              <w:r w:rsidRPr="001324CC">
                <w:rPr>
                  <w:rStyle w:val="Hyperlink"/>
                  <w:rFonts w:ascii="IBM Plex Sans" w:hAnsi="IBM Plex Sans"/>
                  <w:i/>
                </w:rPr>
                <w:t>s</w:t>
              </w:r>
              <w:r w:rsidR="005A3C78" w:rsidRPr="001324CC">
                <w:rPr>
                  <w:rStyle w:val="Hyperlink"/>
                  <w:rFonts w:ascii="IBM Plex Sans" w:hAnsi="IBM Plex Sans"/>
                  <w:i/>
                </w:rPr>
                <w:t>tatements</w:t>
              </w:r>
              <w:r w:rsidRPr="001324CC">
                <w:rPr>
                  <w:rStyle w:val="Hyperlink"/>
                  <w:rFonts w:ascii="IBM Plex Sans" w:hAnsi="IBM Plex Sans"/>
                  <w:i/>
                </w:rPr>
                <w:t xml:space="preserve"> resource</w:t>
              </w:r>
            </w:hyperlink>
            <w:r w:rsidRPr="001324CC">
              <w:rPr>
                <w:rFonts w:ascii="IBM Plex Sans" w:hAnsi="IBM Plex Sans"/>
              </w:rPr>
              <w:t xml:space="preserve"> to combine the previous columns.</w:t>
            </w:r>
          </w:p>
        </w:tc>
      </w:tr>
      <w:tr w:rsidR="00C72A26" w14:paraId="0DF841A5" w14:textId="77777777" w:rsidTr="009B0967">
        <w:tc>
          <w:tcPr>
            <w:tcW w:w="3454" w:type="dxa"/>
          </w:tcPr>
          <w:p w14:paraId="0A2E2A23" w14:textId="77777777" w:rsidR="00C72A26" w:rsidRPr="009B0967" w:rsidRDefault="00C72A26" w:rsidP="00C72A26">
            <w:pPr>
              <w:pStyle w:val="ListParagraph"/>
              <w:numPr>
                <w:ilvl w:val="0"/>
                <w:numId w:val="1"/>
              </w:numPr>
              <w:ind w:left="320" w:hanging="283"/>
              <w:rPr>
                <w:rFonts w:ascii="IBM Plex Sans" w:hAnsi="IBM Plex Sans"/>
              </w:rPr>
            </w:pPr>
            <w:r w:rsidRPr="009B0967">
              <w:rPr>
                <w:rFonts w:ascii="IBM Plex Sans" w:hAnsi="IBM Plex Sans"/>
              </w:rPr>
              <w:t>Lesson planning</w:t>
            </w:r>
          </w:p>
          <w:p w14:paraId="0CB21931" w14:textId="2D394C3A" w:rsidR="00C72A26" w:rsidRPr="009B0967" w:rsidRDefault="00C72A26" w:rsidP="00C72A26">
            <w:pPr>
              <w:pStyle w:val="ListParagraph"/>
              <w:numPr>
                <w:ilvl w:val="0"/>
                <w:numId w:val="1"/>
              </w:numPr>
              <w:ind w:left="320" w:hanging="283"/>
              <w:rPr>
                <w:rFonts w:ascii="IBM Plex Sans" w:hAnsi="IBM Plex Sans"/>
              </w:rPr>
            </w:pPr>
            <w:r w:rsidRPr="009B0967">
              <w:rPr>
                <w:rFonts w:ascii="IBM Plex Sans" w:hAnsi="IBM Plex Sans"/>
              </w:rPr>
              <w:t>Learner-</w:t>
            </w:r>
            <w:proofErr w:type="spellStart"/>
            <w:r w:rsidRPr="009B0967">
              <w:rPr>
                <w:rFonts w:ascii="IBM Plex Sans" w:hAnsi="IBM Plex Sans"/>
              </w:rPr>
              <w:t>centred</w:t>
            </w:r>
            <w:proofErr w:type="spellEnd"/>
            <w:r w:rsidRPr="009B0967">
              <w:rPr>
                <w:rFonts w:ascii="IBM Plex Sans" w:hAnsi="IBM Plex Sans"/>
              </w:rPr>
              <w:t>, inclusive teaching</w:t>
            </w:r>
          </w:p>
        </w:tc>
        <w:tc>
          <w:tcPr>
            <w:tcW w:w="2211" w:type="dxa"/>
          </w:tcPr>
          <w:p w14:paraId="277D1D6E" w14:textId="23567EDF" w:rsidR="00C72A26" w:rsidRPr="009B0967" w:rsidRDefault="00C72A26" w:rsidP="00C72A26">
            <w:pPr>
              <w:rPr>
                <w:rFonts w:ascii="IBM Plex Sans" w:hAnsi="IBM Plex Sans"/>
                <w:b/>
              </w:rPr>
            </w:pPr>
            <w:r w:rsidRPr="009B0967">
              <w:rPr>
                <w:rFonts w:ascii="IBM Plex Sans" w:hAnsi="IBM Plex Sans"/>
              </w:rPr>
              <w:t>Design</w:t>
            </w:r>
          </w:p>
        </w:tc>
        <w:tc>
          <w:tcPr>
            <w:tcW w:w="3119" w:type="dxa"/>
          </w:tcPr>
          <w:p w14:paraId="68FA6232" w14:textId="77777777" w:rsidR="00C72A26" w:rsidRPr="009B0967" w:rsidRDefault="00C72A26" w:rsidP="00C72A26">
            <w:pPr>
              <w:pStyle w:val="ListParagraph"/>
              <w:numPr>
                <w:ilvl w:val="0"/>
                <w:numId w:val="2"/>
              </w:numPr>
              <w:ind w:left="355"/>
              <w:rPr>
                <w:rFonts w:ascii="IBM Plex Sans" w:hAnsi="IBM Plex Sans"/>
              </w:rPr>
            </w:pPr>
            <w:r w:rsidRPr="009B0967">
              <w:rPr>
                <w:rFonts w:ascii="IBM Plex Sans" w:hAnsi="IBM Plex Sans"/>
              </w:rPr>
              <w:t>Required for placement and future career</w:t>
            </w:r>
          </w:p>
          <w:p w14:paraId="05DEDA62" w14:textId="1C1B939B" w:rsidR="00C72A26" w:rsidRPr="009B0967" w:rsidRDefault="00C72A26" w:rsidP="00C72A26">
            <w:pPr>
              <w:pStyle w:val="ListParagraph"/>
              <w:numPr>
                <w:ilvl w:val="0"/>
                <w:numId w:val="2"/>
              </w:numPr>
              <w:ind w:left="355"/>
              <w:rPr>
                <w:rFonts w:ascii="IBM Plex Sans" w:hAnsi="IBM Plex Sans"/>
              </w:rPr>
            </w:pPr>
            <w:r w:rsidRPr="009B0967">
              <w:rPr>
                <w:rFonts w:ascii="IBM Plex Sans" w:hAnsi="IBM Plex Sans"/>
              </w:rPr>
              <w:t>A plan guides teaching</w:t>
            </w:r>
          </w:p>
        </w:tc>
        <w:tc>
          <w:tcPr>
            <w:tcW w:w="3544" w:type="dxa"/>
          </w:tcPr>
          <w:p w14:paraId="2C7ED757" w14:textId="77777777" w:rsidR="00C72A26" w:rsidRPr="009B0967" w:rsidRDefault="00C72A26" w:rsidP="00C72A26">
            <w:pPr>
              <w:pStyle w:val="ListParagraph"/>
              <w:numPr>
                <w:ilvl w:val="0"/>
                <w:numId w:val="2"/>
              </w:numPr>
              <w:ind w:left="313" w:hanging="313"/>
              <w:rPr>
                <w:rFonts w:ascii="IBM Plex Sans" w:hAnsi="IBM Plex Sans"/>
              </w:rPr>
            </w:pPr>
            <w:r w:rsidRPr="009B0967">
              <w:rPr>
                <w:rFonts w:ascii="IBM Plex Sans" w:hAnsi="IBM Plex Sans"/>
              </w:rPr>
              <w:t>A lesson plan in any format (written, audio description, visual/image based, etc.)</w:t>
            </w:r>
          </w:p>
          <w:p w14:paraId="1917FB86" w14:textId="77777777" w:rsidR="00C72A26" w:rsidRPr="009B0967" w:rsidRDefault="00C72A26" w:rsidP="00C72A26">
            <w:pPr>
              <w:pStyle w:val="ListParagraph"/>
              <w:numPr>
                <w:ilvl w:val="0"/>
                <w:numId w:val="2"/>
              </w:numPr>
              <w:ind w:left="313" w:hanging="313"/>
              <w:rPr>
                <w:rFonts w:ascii="IBM Plex Sans" w:hAnsi="IBM Plex Sans"/>
              </w:rPr>
            </w:pPr>
            <w:r w:rsidRPr="009B0967">
              <w:rPr>
                <w:rFonts w:ascii="IBM Plex Sans" w:hAnsi="IBM Plex Sans"/>
              </w:rPr>
              <w:t>Creativity, variety in teaching demonstrated</w:t>
            </w:r>
          </w:p>
          <w:p w14:paraId="48191221" w14:textId="77777777" w:rsidR="00C72A26" w:rsidRPr="009B0967" w:rsidRDefault="00C72A26" w:rsidP="00C72A26">
            <w:pPr>
              <w:pStyle w:val="ListParagraph"/>
              <w:numPr>
                <w:ilvl w:val="0"/>
                <w:numId w:val="2"/>
              </w:numPr>
              <w:ind w:left="313" w:hanging="313"/>
              <w:rPr>
                <w:rFonts w:ascii="IBM Plex Sans" w:hAnsi="IBM Plex Sans"/>
              </w:rPr>
            </w:pPr>
            <w:r w:rsidRPr="009B0967">
              <w:rPr>
                <w:rFonts w:ascii="IBM Plex Sans" w:hAnsi="IBM Plex Sans"/>
              </w:rPr>
              <w:t>Learner-</w:t>
            </w:r>
            <w:proofErr w:type="spellStart"/>
            <w:r w:rsidRPr="009B0967">
              <w:rPr>
                <w:rFonts w:ascii="IBM Plex Sans" w:hAnsi="IBM Plex Sans"/>
              </w:rPr>
              <w:t>centred</w:t>
            </w:r>
            <w:proofErr w:type="spellEnd"/>
            <w:r w:rsidRPr="009B0967">
              <w:rPr>
                <w:rFonts w:ascii="IBM Plex Sans" w:hAnsi="IBM Plex Sans"/>
              </w:rPr>
              <w:t xml:space="preserve"> and inclusive teaching demonstrated</w:t>
            </w:r>
          </w:p>
          <w:p w14:paraId="516C97C6" w14:textId="77777777" w:rsidR="00C72A26" w:rsidRPr="009B0967" w:rsidRDefault="00C72A26" w:rsidP="00C72A26">
            <w:pPr>
              <w:rPr>
                <w:rFonts w:ascii="IBM Plex Sans" w:hAnsi="IBM Plex Sans"/>
                <w:b/>
              </w:rPr>
            </w:pPr>
          </w:p>
        </w:tc>
        <w:tc>
          <w:tcPr>
            <w:tcW w:w="4318" w:type="dxa"/>
          </w:tcPr>
          <w:p w14:paraId="4E076D48" w14:textId="7D524F06" w:rsidR="00C72A26" w:rsidRPr="009B0967" w:rsidRDefault="00C72A26" w:rsidP="00C72A26">
            <w:pPr>
              <w:rPr>
                <w:rFonts w:ascii="IBM Plex Sans" w:hAnsi="IBM Plex Sans"/>
                <w:b/>
              </w:rPr>
            </w:pPr>
            <w:r w:rsidRPr="009B0967">
              <w:rPr>
                <w:rFonts w:ascii="IBM Plex Sans" w:hAnsi="IBM Plex Sans"/>
              </w:rPr>
              <w:t>By the end of this course, students will be able to design lesson plans to teach in their own course that are expressed in writing, via audio, or visually, and incorporates learner-</w:t>
            </w:r>
            <w:proofErr w:type="spellStart"/>
            <w:r w:rsidRPr="009B0967">
              <w:rPr>
                <w:rFonts w:ascii="IBM Plex Sans" w:hAnsi="IBM Plex Sans"/>
              </w:rPr>
              <w:t>centred</w:t>
            </w:r>
            <w:proofErr w:type="spellEnd"/>
            <w:r w:rsidRPr="009B0967">
              <w:rPr>
                <w:rFonts w:ascii="IBM Plex Sans" w:hAnsi="IBM Plex Sans"/>
              </w:rPr>
              <w:t>, inclusive practices in a variety of ways.</w:t>
            </w:r>
          </w:p>
        </w:tc>
      </w:tr>
    </w:tbl>
    <w:p w14:paraId="56580A5B" w14:textId="1B641746" w:rsidR="00C72A26" w:rsidRPr="001324CC" w:rsidRDefault="00C72A26" w:rsidP="00C72A26">
      <w:pPr>
        <w:spacing w:before="240"/>
        <w:rPr>
          <w:rFonts w:ascii="IBM Plex Sans" w:hAnsi="IBM Plex Sans"/>
          <w:b/>
        </w:rPr>
      </w:pPr>
      <w:r w:rsidRPr="001324CC">
        <w:rPr>
          <w:rFonts w:ascii="IBM Plex Sans" w:hAnsi="IBM Plex Sans"/>
          <w:bCs/>
          <w:iCs/>
        </w:rPr>
        <w:t>Start on your course: Start filling the table for one of your courses below (copy and paste the table below or duplicate the page as needed)</w:t>
      </w:r>
    </w:p>
    <w:p w14:paraId="0282B1FB" w14:textId="332B5BC1" w:rsidR="005A3C78" w:rsidRDefault="005A3C78">
      <w:pPr>
        <w:spacing w:after="160" w:line="278" w:lineRule="auto"/>
      </w:pPr>
      <w:r>
        <w:br w:type="page"/>
      </w:r>
    </w:p>
    <w:p w14:paraId="75E8D422" w14:textId="77777777" w:rsidR="005A3C78" w:rsidRPr="001324CC" w:rsidRDefault="005A3C78" w:rsidP="005A3C78">
      <w:pPr>
        <w:rPr>
          <w:rFonts w:ascii="IBM Plex Sans" w:hAnsi="IBM Plex Sans"/>
          <w:i/>
          <w:sz w:val="28"/>
          <w:szCs w:val="28"/>
        </w:rPr>
      </w:pPr>
      <w:r w:rsidRPr="001324CC">
        <w:rPr>
          <w:rFonts w:ascii="IBM Plex Sans" w:hAnsi="IBM Plex Sans"/>
          <w:b/>
          <w:i/>
          <w:sz w:val="28"/>
          <w:szCs w:val="28"/>
        </w:rPr>
        <w:lastRenderedPageBreak/>
        <w:t xml:space="preserve">Use the table below to build-up your learning outcome(s). </w:t>
      </w:r>
      <w:r w:rsidRPr="001324CC">
        <w:rPr>
          <w:rFonts w:ascii="IBM Plex Sans" w:hAnsi="IBM Plex Sans"/>
          <w:bCs/>
          <w:i/>
          <w:sz w:val="28"/>
          <w:szCs w:val="28"/>
        </w:rPr>
        <w:t>Find an example</w:t>
      </w:r>
      <w:r w:rsidRPr="001324CC">
        <w:rPr>
          <w:rFonts w:ascii="IBM Plex Sans" w:hAnsi="IBM Plex Sans"/>
          <w:b/>
          <w:i/>
          <w:sz w:val="28"/>
          <w:szCs w:val="28"/>
        </w:rPr>
        <w:t xml:space="preserve"> </w:t>
      </w:r>
      <w:r w:rsidRPr="001324CC">
        <w:rPr>
          <w:rFonts w:ascii="IBM Plex Sans" w:hAnsi="IBM Plex Sans"/>
          <w:i/>
          <w:sz w:val="28"/>
          <w:szCs w:val="28"/>
        </w:rPr>
        <w:t>above to assist if needed.</w:t>
      </w:r>
    </w:p>
    <w:p w14:paraId="001F0C26" w14:textId="3BF156ED" w:rsidR="005A3C78" w:rsidRPr="001324CC" w:rsidRDefault="005A3C78" w:rsidP="005A3C78">
      <w:pPr>
        <w:spacing w:after="240"/>
        <w:rPr>
          <w:rFonts w:ascii="IBM Plex Sans" w:hAnsi="IBM Plex Sans"/>
          <w:b/>
          <w:i/>
          <w:sz w:val="28"/>
          <w:szCs w:val="28"/>
        </w:rPr>
      </w:pPr>
      <w:r w:rsidRPr="001324CC">
        <w:rPr>
          <w:rFonts w:ascii="IBM Plex Sans" w:hAnsi="IBM Plex Sans"/>
          <w:i/>
          <w:sz w:val="28"/>
          <w:szCs w:val="28"/>
        </w:rPr>
        <w:t xml:space="preserve">Tip: Group related skills, knowledge, attitudes together in one row, and </w:t>
      </w:r>
      <w:proofErr w:type="gramStart"/>
      <w:r w:rsidR="009B0967">
        <w:rPr>
          <w:rFonts w:ascii="IBM Plex Sans" w:hAnsi="IBM Plex Sans"/>
          <w:i/>
          <w:sz w:val="28"/>
          <w:szCs w:val="28"/>
        </w:rPr>
        <w:t>complete</w:t>
      </w:r>
      <w:proofErr w:type="gramEnd"/>
      <w:r w:rsidRPr="001324CC">
        <w:rPr>
          <w:rFonts w:ascii="IBM Plex Sans" w:hAnsi="IBM Plex Sans"/>
          <w:i/>
          <w:sz w:val="28"/>
          <w:szCs w:val="28"/>
        </w:rPr>
        <w:t xml:space="preserve"> new rows for each distinct group of skills, knowledge, and attitudes</w:t>
      </w:r>
      <w:r w:rsidR="009B0967">
        <w:rPr>
          <w:rFonts w:ascii="IBM Plex Sans" w:hAnsi="IBM Plex Sans"/>
          <w:i/>
          <w:sz w:val="28"/>
          <w:szCs w:val="28"/>
        </w:rPr>
        <w:t xml:space="preserve">.  A maximum of six learning outcomes </w:t>
      </w:r>
      <w:r w:rsidR="00382ABF">
        <w:rPr>
          <w:rFonts w:ascii="IBM Plex Sans" w:hAnsi="IBM Plex Sans"/>
          <w:i/>
          <w:sz w:val="28"/>
          <w:szCs w:val="28"/>
        </w:rPr>
        <w:t>is</w:t>
      </w:r>
      <w:r w:rsidR="009B0967">
        <w:rPr>
          <w:rFonts w:ascii="IBM Plex Sans" w:hAnsi="IBM Plex Sans"/>
          <w:i/>
          <w:sz w:val="28"/>
          <w:szCs w:val="28"/>
        </w:rPr>
        <w:t xml:space="preserve"> recommended per course, so consider completing no more than six rows.</w:t>
      </w:r>
    </w:p>
    <w:tbl>
      <w:tblPr>
        <w:tblStyle w:val="TableGrid"/>
        <w:tblW w:w="0" w:type="auto"/>
        <w:tblLook w:val="04A0" w:firstRow="1" w:lastRow="0" w:firstColumn="1" w:lastColumn="0" w:noHBand="0" w:noVBand="1"/>
      </w:tblPr>
      <w:tblGrid>
        <w:gridCol w:w="3454"/>
        <w:gridCol w:w="2211"/>
        <w:gridCol w:w="3260"/>
        <w:gridCol w:w="3544"/>
        <w:gridCol w:w="4318"/>
      </w:tblGrid>
      <w:tr w:rsidR="005A3C78" w:rsidRPr="001324CC" w14:paraId="2FBCB2ED" w14:textId="77777777" w:rsidTr="009B0967">
        <w:tc>
          <w:tcPr>
            <w:tcW w:w="3454" w:type="dxa"/>
          </w:tcPr>
          <w:p w14:paraId="3D698E1A" w14:textId="77777777" w:rsidR="005A3C78" w:rsidRPr="001324CC" w:rsidRDefault="005A3C78" w:rsidP="00305590">
            <w:pPr>
              <w:jc w:val="center"/>
              <w:rPr>
                <w:rFonts w:ascii="IBM Plex Sans" w:hAnsi="IBM Plex Sans"/>
                <w:sz w:val="28"/>
                <w:szCs w:val="28"/>
              </w:rPr>
            </w:pPr>
            <w:r w:rsidRPr="001324CC">
              <w:rPr>
                <w:rFonts w:ascii="IBM Plex Sans" w:hAnsi="IBM Plex Sans"/>
                <w:b/>
                <w:sz w:val="28"/>
                <w:szCs w:val="28"/>
              </w:rPr>
              <w:t>Essential skills, knowledge, attitudes</w:t>
            </w:r>
          </w:p>
          <w:p w14:paraId="157D4CAC" w14:textId="77777777" w:rsidR="005A3C78" w:rsidRPr="001324CC" w:rsidRDefault="005A3C78" w:rsidP="00305590">
            <w:pPr>
              <w:rPr>
                <w:rFonts w:ascii="IBM Plex Sans" w:hAnsi="IBM Plex Sans"/>
                <w:b/>
              </w:rPr>
            </w:pPr>
            <w:r w:rsidRPr="001324CC">
              <w:rPr>
                <w:rFonts w:ascii="IBM Plex Sans" w:hAnsi="IBM Plex Sans"/>
                <w:i/>
              </w:rPr>
              <w:t>Tip: consider big categories of related concepts, procedures, values, etc. in your course</w:t>
            </w:r>
            <w:r w:rsidRPr="001324CC">
              <w:rPr>
                <w:rFonts w:ascii="IBM Plex Sans" w:hAnsi="IBM Plex Sans" w:cstheme="minorHAnsi"/>
                <w:i/>
              </w:rPr>
              <w:t>.</w:t>
            </w:r>
          </w:p>
        </w:tc>
        <w:tc>
          <w:tcPr>
            <w:tcW w:w="2211" w:type="dxa"/>
          </w:tcPr>
          <w:p w14:paraId="02F31211" w14:textId="77777777" w:rsidR="005A3C78" w:rsidRPr="001324CC" w:rsidRDefault="005A3C78" w:rsidP="00305590">
            <w:pPr>
              <w:jc w:val="center"/>
              <w:rPr>
                <w:rFonts w:ascii="IBM Plex Sans" w:hAnsi="IBM Plex Sans"/>
                <w:b/>
                <w:sz w:val="28"/>
                <w:szCs w:val="28"/>
              </w:rPr>
            </w:pPr>
            <w:r w:rsidRPr="001324CC">
              <w:rPr>
                <w:rFonts w:ascii="IBM Plex Sans" w:hAnsi="IBM Plex Sans"/>
                <w:b/>
                <w:sz w:val="28"/>
                <w:szCs w:val="28"/>
              </w:rPr>
              <w:t>Level of competency</w:t>
            </w:r>
          </w:p>
          <w:p w14:paraId="4208D6C4" w14:textId="2977433C" w:rsidR="005A3C78" w:rsidRPr="001324CC" w:rsidRDefault="005A3C78" w:rsidP="00305590">
            <w:pPr>
              <w:rPr>
                <w:rFonts w:ascii="IBM Plex Sans" w:hAnsi="IBM Plex Sans"/>
                <w:b/>
              </w:rPr>
            </w:pPr>
            <w:r w:rsidRPr="001324CC">
              <w:rPr>
                <w:rFonts w:ascii="IBM Plex Sans" w:hAnsi="IBM Plex Sans"/>
                <w:i/>
              </w:rPr>
              <w:t xml:space="preserve">Tip: use </w:t>
            </w:r>
            <w:hyperlink r:id="rId10" w:history="1">
              <w:r w:rsidRPr="001324CC">
                <w:rPr>
                  <w:rStyle w:val="Hyperlink"/>
                  <w:rFonts w:ascii="IBM Plex Sans" w:hAnsi="IBM Plex Sans"/>
                  <w:i/>
                </w:rPr>
                <w:t>Bloom’s</w:t>
              </w:r>
            </w:hyperlink>
            <w:r w:rsidRPr="001324CC">
              <w:rPr>
                <w:rFonts w:ascii="IBM Plex Sans" w:hAnsi="IBM Plex Sans"/>
                <w:i/>
              </w:rPr>
              <w:t xml:space="preserve"> / </w:t>
            </w:r>
            <w:hyperlink r:id="rId11" w:history="1">
              <w:r w:rsidR="00607FE1" w:rsidRPr="00607FE1">
                <w:rPr>
                  <w:rStyle w:val="Hyperlink"/>
                  <w:rFonts w:ascii="IBM Plex Sans" w:hAnsi="IBM Plex Sans"/>
                  <w:i/>
                </w:rPr>
                <w:t>Fink’s</w:t>
              </w:r>
              <w:r w:rsidR="00607FE1" w:rsidRPr="00607FE1">
                <w:rPr>
                  <w:rStyle w:val="Hyperlink"/>
                </w:rPr>
                <w:t xml:space="preserve"> </w:t>
              </w:r>
              <w:r w:rsidR="00607FE1" w:rsidRPr="00607FE1">
                <w:rPr>
                  <w:rStyle w:val="Hyperlink"/>
                  <w:i/>
                  <w:iCs/>
                </w:rPr>
                <w:t>(Docx.)</w:t>
              </w:r>
            </w:hyperlink>
            <w:r w:rsidR="00607FE1" w:rsidRPr="001324CC">
              <w:rPr>
                <w:rFonts w:ascii="IBM Plex Sans" w:hAnsi="IBM Plex Sans"/>
                <w:i/>
              </w:rPr>
              <w:t xml:space="preserve"> </w:t>
            </w:r>
            <w:r w:rsidR="009B0967">
              <w:rPr>
                <w:rFonts w:ascii="IBM Plex Sans" w:hAnsi="IBM Plex Sans"/>
              </w:rPr>
              <w:t xml:space="preserve"> </w:t>
            </w:r>
            <w:r w:rsidRPr="001324CC">
              <w:rPr>
                <w:rFonts w:ascii="IBM Plex Sans" w:hAnsi="IBM Plex Sans"/>
                <w:i/>
              </w:rPr>
              <w:t>taxonomy.</w:t>
            </w:r>
          </w:p>
        </w:tc>
        <w:tc>
          <w:tcPr>
            <w:tcW w:w="3260" w:type="dxa"/>
          </w:tcPr>
          <w:p w14:paraId="6823E6B5" w14:textId="77777777" w:rsidR="005A3C78" w:rsidRPr="001324CC" w:rsidRDefault="005A3C78" w:rsidP="00305590">
            <w:pPr>
              <w:jc w:val="center"/>
              <w:rPr>
                <w:rFonts w:ascii="IBM Plex Sans" w:hAnsi="IBM Plex Sans"/>
                <w:b/>
                <w:sz w:val="28"/>
                <w:szCs w:val="28"/>
              </w:rPr>
            </w:pPr>
            <w:r w:rsidRPr="001324CC">
              <w:rPr>
                <w:rFonts w:ascii="IBM Plex Sans" w:hAnsi="IBM Plex Sans"/>
                <w:b/>
                <w:sz w:val="28"/>
                <w:szCs w:val="28"/>
              </w:rPr>
              <w:t>Context</w:t>
            </w:r>
          </w:p>
          <w:p w14:paraId="4456A5DD" w14:textId="77777777" w:rsidR="005A3C78" w:rsidRPr="001324CC" w:rsidRDefault="005A3C78" w:rsidP="00305590">
            <w:pPr>
              <w:rPr>
                <w:rFonts w:ascii="IBM Plex Sans" w:hAnsi="IBM Plex Sans"/>
                <w:b/>
              </w:rPr>
            </w:pPr>
            <w:r w:rsidRPr="001324CC">
              <w:rPr>
                <w:rFonts w:ascii="IBM Plex Sans" w:hAnsi="IBM Plex Sans"/>
                <w:bCs/>
                <w:i/>
                <w:iCs/>
              </w:rPr>
              <w:t>Tip: why is this important?  What are the motivations?  What are the conditions for learning to take place?</w:t>
            </w:r>
          </w:p>
        </w:tc>
        <w:tc>
          <w:tcPr>
            <w:tcW w:w="3544" w:type="dxa"/>
          </w:tcPr>
          <w:p w14:paraId="4B25EFA5" w14:textId="77777777" w:rsidR="005A3C78" w:rsidRPr="001324CC" w:rsidRDefault="005A3C78" w:rsidP="00305590">
            <w:pPr>
              <w:jc w:val="center"/>
              <w:rPr>
                <w:rFonts w:ascii="IBM Plex Sans" w:hAnsi="IBM Plex Sans"/>
                <w:b/>
                <w:sz w:val="28"/>
                <w:szCs w:val="28"/>
              </w:rPr>
            </w:pPr>
            <w:r w:rsidRPr="001324CC">
              <w:rPr>
                <w:rFonts w:ascii="IBM Plex Sans" w:hAnsi="IBM Plex Sans"/>
                <w:b/>
                <w:bCs/>
                <w:noProof/>
                <w:sz w:val="28"/>
                <w:szCs w:val="28"/>
                <w:lang w:val="en-CA" w:eastAsia="en-CA"/>
              </w:rPr>
              <w:t>Criteria</w:t>
            </w:r>
          </w:p>
          <w:p w14:paraId="0967570D" w14:textId="77777777" w:rsidR="005A3C78" w:rsidRPr="001324CC" w:rsidRDefault="005A3C78" w:rsidP="00305590">
            <w:pPr>
              <w:rPr>
                <w:rFonts w:ascii="IBM Plex Sans" w:hAnsi="IBM Plex Sans"/>
                <w:b/>
              </w:rPr>
            </w:pPr>
            <w:r w:rsidRPr="001324CC">
              <w:rPr>
                <w:rFonts w:ascii="IBM Plex Sans" w:hAnsi="IBM Plex Sans"/>
                <w:i/>
              </w:rPr>
              <w:t>Tip: how will learning be assessed?  What qualities are expected? What will be produced by students?</w:t>
            </w:r>
          </w:p>
        </w:tc>
        <w:tc>
          <w:tcPr>
            <w:tcW w:w="4318" w:type="dxa"/>
          </w:tcPr>
          <w:p w14:paraId="5C83337C" w14:textId="77777777" w:rsidR="005A3C78" w:rsidRPr="001324CC" w:rsidRDefault="005A3C78" w:rsidP="00305590">
            <w:pPr>
              <w:jc w:val="center"/>
              <w:rPr>
                <w:rFonts w:ascii="IBM Plex Sans" w:hAnsi="IBM Plex Sans"/>
                <w:b/>
                <w:sz w:val="28"/>
                <w:szCs w:val="28"/>
              </w:rPr>
            </w:pPr>
            <w:r w:rsidRPr="001324CC">
              <w:rPr>
                <w:rFonts w:ascii="IBM Plex Sans" w:hAnsi="IBM Plex Sans"/>
                <w:b/>
                <w:sz w:val="28"/>
                <w:szCs w:val="28"/>
              </w:rPr>
              <w:t>Learning Outcomes</w:t>
            </w:r>
          </w:p>
          <w:p w14:paraId="305B0ADE" w14:textId="77777777" w:rsidR="005A3C78" w:rsidRPr="001324CC" w:rsidRDefault="005A3C78" w:rsidP="00305590">
            <w:pPr>
              <w:rPr>
                <w:rFonts w:ascii="IBM Plex Sans" w:hAnsi="IBM Plex Sans"/>
                <w:b/>
              </w:rPr>
            </w:pPr>
            <w:r w:rsidRPr="001324CC">
              <w:rPr>
                <w:rFonts w:ascii="IBM Plex Sans" w:hAnsi="IBM Plex Sans"/>
                <w:i/>
              </w:rPr>
              <w:t xml:space="preserve">Tip: use the </w:t>
            </w:r>
            <w:hyperlink r:id="rId12" w:history="1">
              <w:r w:rsidRPr="001324CC">
                <w:rPr>
                  <w:rStyle w:val="Hyperlink"/>
                  <w:rFonts w:ascii="IBM Plex Sans" w:hAnsi="IBM Plex Sans"/>
                  <w:i/>
                </w:rPr>
                <w:t>what are effective learning outcome statements resource</w:t>
              </w:r>
            </w:hyperlink>
            <w:r w:rsidRPr="001324CC">
              <w:rPr>
                <w:rFonts w:ascii="IBM Plex Sans" w:hAnsi="IBM Plex Sans"/>
              </w:rPr>
              <w:t xml:space="preserve"> to combine the previous columns.</w:t>
            </w:r>
          </w:p>
        </w:tc>
      </w:tr>
      <w:tr w:rsidR="005A3C78" w14:paraId="18465DFF" w14:textId="77777777" w:rsidTr="009B0967">
        <w:tc>
          <w:tcPr>
            <w:tcW w:w="3454" w:type="dxa"/>
          </w:tcPr>
          <w:p w14:paraId="419E19CF" w14:textId="5E90AC71" w:rsidR="005A3C78" w:rsidRPr="009B0967" w:rsidRDefault="005A3C78" w:rsidP="005A3C78">
            <w:pPr>
              <w:ind w:left="37"/>
            </w:pPr>
          </w:p>
        </w:tc>
        <w:tc>
          <w:tcPr>
            <w:tcW w:w="2211" w:type="dxa"/>
          </w:tcPr>
          <w:p w14:paraId="6950F157" w14:textId="2403FAB7" w:rsidR="005A3C78" w:rsidRPr="009B0967" w:rsidRDefault="005A3C78" w:rsidP="00305590">
            <w:pPr>
              <w:rPr>
                <w:rFonts w:ascii="IBM Plex Sans" w:hAnsi="IBM Plex Sans"/>
                <w:b/>
              </w:rPr>
            </w:pPr>
          </w:p>
        </w:tc>
        <w:tc>
          <w:tcPr>
            <w:tcW w:w="3260" w:type="dxa"/>
          </w:tcPr>
          <w:p w14:paraId="0E1EA6AA" w14:textId="47B5F46E" w:rsidR="005A3C78" w:rsidRPr="009B0967" w:rsidRDefault="005A3C78" w:rsidP="005A3C78">
            <w:pPr>
              <w:ind w:left="-5"/>
            </w:pPr>
          </w:p>
        </w:tc>
        <w:tc>
          <w:tcPr>
            <w:tcW w:w="3544" w:type="dxa"/>
          </w:tcPr>
          <w:p w14:paraId="2D49F7AA" w14:textId="77777777" w:rsidR="005A3C78" w:rsidRPr="009B0967" w:rsidRDefault="005A3C78" w:rsidP="005A3C78">
            <w:pPr>
              <w:rPr>
                <w:rFonts w:ascii="IBM Plex Sans" w:hAnsi="IBM Plex Sans"/>
                <w:b/>
              </w:rPr>
            </w:pPr>
          </w:p>
        </w:tc>
        <w:tc>
          <w:tcPr>
            <w:tcW w:w="4318" w:type="dxa"/>
          </w:tcPr>
          <w:p w14:paraId="09AEF700" w14:textId="5D036016" w:rsidR="005A3C78" w:rsidRPr="009B0967" w:rsidRDefault="005A3C78" w:rsidP="00305590">
            <w:pPr>
              <w:rPr>
                <w:rFonts w:ascii="IBM Plex Sans" w:hAnsi="IBM Plex Sans"/>
                <w:b/>
              </w:rPr>
            </w:pPr>
          </w:p>
        </w:tc>
      </w:tr>
      <w:tr w:rsidR="009B0967" w14:paraId="613D89F5" w14:textId="77777777" w:rsidTr="009B0967">
        <w:tc>
          <w:tcPr>
            <w:tcW w:w="3454" w:type="dxa"/>
          </w:tcPr>
          <w:p w14:paraId="70087595" w14:textId="77777777" w:rsidR="009B0967" w:rsidRPr="009B0967" w:rsidRDefault="009B0967" w:rsidP="005A3C78">
            <w:pPr>
              <w:ind w:left="37"/>
            </w:pPr>
          </w:p>
        </w:tc>
        <w:tc>
          <w:tcPr>
            <w:tcW w:w="2211" w:type="dxa"/>
          </w:tcPr>
          <w:p w14:paraId="0F93B63D" w14:textId="77777777" w:rsidR="009B0967" w:rsidRPr="009B0967" w:rsidRDefault="009B0967" w:rsidP="00305590">
            <w:pPr>
              <w:rPr>
                <w:rFonts w:ascii="IBM Plex Sans" w:hAnsi="IBM Plex Sans"/>
                <w:b/>
              </w:rPr>
            </w:pPr>
          </w:p>
        </w:tc>
        <w:tc>
          <w:tcPr>
            <w:tcW w:w="3260" w:type="dxa"/>
          </w:tcPr>
          <w:p w14:paraId="30C30539" w14:textId="77777777" w:rsidR="009B0967" w:rsidRPr="009B0967" w:rsidRDefault="009B0967" w:rsidP="005A3C78">
            <w:pPr>
              <w:ind w:left="-5"/>
            </w:pPr>
          </w:p>
        </w:tc>
        <w:tc>
          <w:tcPr>
            <w:tcW w:w="3544" w:type="dxa"/>
          </w:tcPr>
          <w:p w14:paraId="44AC24FD" w14:textId="77777777" w:rsidR="009B0967" w:rsidRPr="009B0967" w:rsidRDefault="009B0967" w:rsidP="005A3C78">
            <w:pPr>
              <w:rPr>
                <w:rFonts w:ascii="IBM Plex Sans" w:hAnsi="IBM Plex Sans"/>
                <w:b/>
              </w:rPr>
            </w:pPr>
          </w:p>
        </w:tc>
        <w:tc>
          <w:tcPr>
            <w:tcW w:w="4318" w:type="dxa"/>
          </w:tcPr>
          <w:p w14:paraId="1B13CA1D" w14:textId="77777777" w:rsidR="009B0967" w:rsidRPr="009B0967" w:rsidRDefault="009B0967" w:rsidP="00305590">
            <w:pPr>
              <w:rPr>
                <w:rFonts w:ascii="IBM Plex Sans" w:hAnsi="IBM Plex Sans"/>
                <w:b/>
              </w:rPr>
            </w:pPr>
          </w:p>
        </w:tc>
      </w:tr>
      <w:tr w:rsidR="009B0967" w14:paraId="0CF6C109" w14:textId="77777777" w:rsidTr="009B0967">
        <w:tc>
          <w:tcPr>
            <w:tcW w:w="3454" w:type="dxa"/>
          </w:tcPr>
          <w:p w14:paraId="75003039" w14:textId="77777777" w:rsidR="009B0967" w:rsidRPr="009B0967" w:rsidRDefault="009B0967" w:rsidP="005A3C78">
            <w:pPr>
              <w:ind w:left="37"/>
            </w:pPr>
          </w:p>
        </w:tc>
        <w:tc>
          <w:tcPr>
            <w:tcW w:w="2211" w:type="dxa"/>
          </w:tcPr>
          <w:p w14:paraId="2346F4D8" w14:textId="77777777" w:rsidR="009B0967" w:rsidRPr="009B0967" w:rsidRDefault="009B0967" w:rsidP="00305590">
            <w:pPr>
              <w:rPr>
                <w:rFonts w:ascii="IBM Plex Sans" w:hAnsi="IBM Plex Sans"/>
                <w:b/>
              </w:rPr>
            </w:pPr>
          </w:p>
        </w:tc>
        <w:tc>
          <w:tcPr>
            <w:tcW w:w="3260" w:type="dxa"/>
          </w:tcPr>
          <w:p w14:paraId="742BB8CA" w14:textId="77777777" w:rsidR="009B0967" w:rsidRPr="009B0967" w:rsidRDefault="009B0967" w:rsidP="005A3C78">
            <w:pPr>
              <w:ind w:left="-5"/>
            </w:pPr>
          </w:p>
        </w:tc>
        <w:tc>
          <w:tcPr>
            <w:tcW w:w="3544" w:type="dxa"/>
          </w:tcPr>
          <w:p w14:paraId="4C5D11AC" w14:textId="77777777" w:rsidR="009B0967" w:rsidRPr="009B0967" w:rsidRDefault="009B0967" w:rsidP="005A3C78">
            <w:pPr>
              <w:rPr>
                <w:rFonts w:ascii="IBM Plex Sans" w:hAnsi="IBM Plex Sans"/>
                <w:b/>
              </w:rPr>
            </w:pPr>
          </w:p>
        </w:tc>
        <w:tc>
          <w:tcPr>
            <w:tcW w:w="4318" w:type="dxa"/>
          </w:tcPr>
          <w:p w14:paraId="297BC9BB" w14:textId="77777777" w:rsidR="009B0967" w:rsidRPr="009B0967" w:rsidRDefault="009B0967" w:rsidP="00305590">
            <w:pPr>
              <w:rPr>
                <w:rFonts w:ascii="IBM Plex Sans" w:hAnsi="IBM Plex Sans"/>
                <w:b/>
              </w:rPr>
            </w:pPr>
          </w:p>
        </w:tc>
      </w:tr>
      <w:tr w:rsidR="009B0967" w14:paraId="30AC71A2" w14:textId="77777777" w:rsidTr="009B0967">
        <w:tc>
          <w:tcPr>
            <w:tcW w:w="3454" w:type="dxa"/>
          </w:tcPr>
          <w:p w14:paraId="570435E8" w14:textId="77777777" w:rsidR="009B0967" w:rsidRPr="009B0967" w:rsidRDefault="009B0967" w:rsidP="005A3C78">
            <w:pPr>
              <w:ind w:left="37"/>
            </w:pPr>
          </w:p>
        </w:tc>
        <w:tc>
          <w:tcPr>
            <w:tcW w:w="2211" w:type="dxa"/>
          </w:tcPr>
          <w:p w14:paraId="5794D754" w14:textId="77777777" w:rsidR="009B0967" w:rsidRPr="009B0967" w:rsidRDefault="009B0967" w:rsidP="00305590">
            <w:pPr>
              <w:rPr>
                <w:rFonts w:ascii="IBM Plex Sans" w:hAnsi="IBM Plex Sans"/>
                <w:b/>
              </w:rPr>
            </w:pPr>
          </w:p>
        </w:tc>
        <w:tc>
          <w:tcPr>
            <w:tcW w:w="3260" w:type="dxa"/>
          </w:tcPr>
          <w:p w14:paraId="04158763" w14:textId="77777777" w:rsidR="009B0967" w:rsidRPr="009B0967" w:rsidRDefault="009B0967" w:rsidP="005A3C78">
            <w:pPr>
              <w:ind w:left="-5"/>
            </w:pPr>
          </w:p>
        </w:tc>
        <w:tc>
          <w:tcPr>
            <w:tcW w:w="3544" w:type="dxa"/>
          </w:tcPr>
          <w:p w14:paraId="48F79A96" w14:textId="77777777" w:rsidR="009B0967" w:rsidRPr="009B0967" w:rsidRDefault="009B0967" w:rsidP="005A3C78">
            <w:pPr>
              <w:rPr>
                <w:rFonts w:ascii="IBM Plex Sans" w:hAnsi="IBM Plex Sans"/>
                <w:b/>
              </w:rPr>
            </w:pPr>
          </w:p>
        </w:tc>
        <w:tc>
          <w:tcPr>
            <w:tcW w:w="4318" w:type="dxa"/>
          </w:tcPr>
          <w:p w14:paraId="5DF23A1E" w14:textId="77777777" w:rsidR="009B0967" w:rsidRPr="009B0967" w:rsidRDefault="009B0967" w:rsidP="00305590">
            <w:pPr>
              <w:rPr>
                <w:rFonts w:ascii="IBM Plex Sans" w:hAnsi="IBM Plex Sans"/>
                <w:b/>
              </w:rPr>
            </w:pPr>
          </w:p>
        </w:tc>
      </w:tr>
      <w:tr w:rsidR="009B0967" w14:paraId="3EC067CB" w14:textId="77777777" w:rsidTr="009B0967">
        <w:tc>
          <w:tcPr>
            <w:tcW w:w="3454" w:type="dxa"/>
          </w:tcPr>
          <w:p w14:paraId="4F0929E8" w14:textId="77777777" w:rsidR="009B0967" w:rsidRPr="009B0967" w:rsidRDefault="009B0967" w:rsidP="005A3C78">
            <w:pPr>
              <w:ind w:left="37"/>
            </w:pPr>
          </w:p>
        </w:tc>
        <w:tc>
          <w:tcPr>
            <w:tcW w:w="2211" w:type="dxa"/>
          </w:tcPr>
          <w:p w14:paraId="2D998329" w14:textId="77777777" w:rsidR="009B0967" w:rsidRPr="009B0967" w:rsidRDefault="009B0967" w:rsidP="00305590">
            <w:pPr>
              <w:rPr>
                <w:rFonts w:ascii="IBM Plex Sans" w:hAnsi="IBM Plex Sans"/>
                <w:b/>
              </w:rPr>
            </w:pPr>
          </w:p>
        </w:tc>
        <w:tc>
          <w:tcPr>
            <w:tcW w:w="3260" w:type="dxa"/>
          </w:tcPr>
          <w:p w14:paraId="75497DE7" w14:textId="77777777" w:rsidR="009B0967" w:rsidRPr="009B0967" w:rsidRDefault="009B0967" w:rsidP="005A3C78">
            <w:pPr>
              <w:ind w:left="-5"/>
            </w:pPr>
          </w:p>
        </w:tc>
        <w:tc>
          <w:tcPr>
            <w:tcW w:w="3544" w:type="dxa"/>
          </w:tcPr>
          <w:p w14:paraId="1F700819" w14:textId="77777777" w:rsidR="009B0967" w:rsidRPr="009B0967" w:rsidRDefault="009B0967" w:rsidP="005A3C78">
            <w:pPr>
              <w:rPr>
                <w:rFonts w:ascii="IBM Plex Sans" w:hAnsi="IBM Plex Sans"/>
                <w:b/>
              </w:rPr>
            </w:pPr>
          </w:p>
        </w:tc>
        <w:tc>
          <w:tcPr>
            <w:tcW w:w="4318" w:type="dxa"/>
          </w:tcPr>
          <w:p w14:paraId="27F36041" w14:textId="77777777" w:rsidR="009B0967" w:rsidRPr="009B0967" w:rsidRDefault="009B0967" w:rsidP="00305590">
            <w:pPr>
              <w:rPr>
                <w:rFonts w:ascii="IBM Plex Sans" w:hAnsi="IBM Plex Sans"/>
                <w:b/>
              </w:rPr>
            </w:pPr>
          </w:p>
        </w:tc>
      </w:tr>
      <w:tr w:rsidR="009B0967" w14:paraId="4879AFAD" w14:textId="77777777" w:rsidTr="009B0967">
        <w:tc>
          <w:tcPr>
            <w:tcW w:w="3454" w:type="dxa"/>
          </w:tcPr>
          <w:p w14:paraId="3100124B" w14:textId="77777777" w:rsidR="009B0967" w:rsidRPr="009B0967" w:rsidRDefault="009B0967" w:rsidP="005A3C78">
            <w:pPr>
              <w:ind w:left="37"/>
            </w:pPr>
          </w:p>
        </w:tc>
        <w:tc>
          <w:tcPr>
            <w:tcW w:w="2211" w:type="dxa"/>
          </w:tcPr>
          <w:p w14:paraId="6ACA98FE" w14:textId="77777777" w:rsidR="009B0967" w:rsidRPr="009B0967" w:rsidRDefault="009B0967" w:rsidP="00305590">
            <w:pPr>
              <w:rPr>
                <w:rFonts w:ascii="IBM Plex Sans" w:hAnsi="IBM Plex Sans"/>
                <w:b/>
              </w:rPr>
            </w:pPr>
          </w:p>
        </w:tc>
        <w:tc>
          <w:tcPr>
            <w:tcW w:w="3260" w:type="dxa"/>
          </w:tcPr>
          <w:p w14:paraId="795C28A1" w14:textId="77777777" w:rsidR="009B0967" w:rsidRPr="009B0967" w:rsidRDefault="009B0967" w:rsidP="005A3C78">
            <w:pPr>
              <w:ind w:left="-5"/>
            </w:pPr>
          </w:p>
        </w:tc>
        <w:tc>
          <w:tcPr>
            <w:tcW w:w="3544" w:type="dxa"/>
          </w:tcPr>
          <w:p w14:paraId="5F8F98F4" w14:textId="77777777" w:rsidR="009B0967" w:rsidRPr="009B0967" w:rsidRDefault="009B0967" w:rsidP="005A3C78">
            <w:pPr>
              <w:rPr>
                <w:rFonts w:ascii="IBM Plex Sans" w:hAnsi="IBM Plex Sans"/>
                <w:b/>
              </w:rPr>
            </w:pPr>
          </w:p>
        </w:tc>
        <w:tc>
          <w:tcPr>
            <w:tcW w:w="4318" w:type="dxa"/>
          </w:tcPr>
          <w:p w14:paraId="22EBBB35" w14:textId="77777777" w:rsidR="009B0967" w:rsidRPr="009B0967" w:rsidRDefault="009B0967" w:rsidP="00305590">
            <w:pPr>
              <w:rPr>
                <w:rFonts w:ascii="IBM Plex Sans" w:hAnsi="IBM Plex Sans"/>
                <w:b/>
              </w:rPr>
            </w:pPr>
          </w:p>
        </w:tc>
      </w:tr>
    </w:tbl>
    <w:p w14:paraId="216BB76F" w14:textId="77777777" w:rsidR="00F60C16" w:rsidRDefault="00F60C16"/>
    <w:sectPr w:rsidR="00F60C16" w:rsidSect="00C72A26">
      <w:headerReference w:type="default" r:id="rId13"/>
      <w:pgSz w:w="2016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693C9854" w14:textId="77777777" w:rsidR="00497EF1" w:rsidRDefault="00497EF1" w:rsidP="001324CC">
      <w:r>
        <w:separator/>
      </w:r>
    </w:p>
  </w:endnote>
  <w:endnote w:type="continuationSeparator" w:id="0">
    <w:p w14:paraId="7FA97261" w14:textId="77777777" w:rsidR="00497EF1" w:rsidRDefault="00497EF1" w:rsidP="00132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IBM Plex Sans">
    <w:panose1 w:val="020B0503050203000203"/>
    <w:charset w:val="00"/>
    <w:family w:val="swiss"/>
    <w:pitch w:val="variable"/>
    <w:sig w:usb0="A00002E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42AB4057" w14:textId="77777777" w:rsidR="00497EF1" w:rsidRDefault="00497EF1" w:rsidP="001324CC">
      <w:r>
        <w:separator/>
      </w:r>
    </w:p>
  </w:footnote>
  <w:footnote w:type="continuationSeparator" w:id="0">
    <w:p w14:paraId="4FE7355D" w14:textId="77777777" w:rsidR="00497EF1" w:rsidRDefault="00497EF1" w:rsidP="00132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340F7BB" w14:textId="2946ADCA" w:rsidR="001324CC" w:rsidRPr="009B7233" w:rsidRDefault="009B7233" w:rsidP="009B7233">
    <w:pPr>
      <w:pStyle w:val="Header"/>
      <w:spacing w:after="840"/>
      <w:ind w:right="-432"/>
      <w:jc w:val="right"/>
    </w:pPr>
    <w:r>
      <w:rPr>
        <w:rFonts w:ascii="Arial" w:hAnsi="Arial" w:cs="Arial"/>
        <w:noProof/>
        <w:color w:val="E31837"/>
      </w:rPr>
      <w:drawing>
        <wp:anchor distT="0" distB="0" distL="114300" distR="114300" simplePos="0" relativeHeight="251659264" behindDoc="0" locked="0" layoutInCell="1" allowOverlap="1" wp14:anchorId="5D14A8BC" wp14:editId="27FD0B76">
          <wp:simplePos x="0" y="0"/>
          <wp:positionH relativeFrom="page">
            <wp:posOffset>354965</wp:posOffset>
          </wp:positionH>
          <wp:positionV relativeFrom="paragraph">
            <wp:posOffset>-87312</wp:posOffset>
          </wp:positionV>
          <wp:extent cx="1554480" cy="621792"/>
          <wp:effectExtent l="0" t="0" r="7620" b="6985"/>
          <wp:wrapNone/>
          <wp:docPr id="2" name="Picture 2" descr="York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York University logo"/>
                  <pic:cNvPicPr/>
                </pic:nvPicPr>
                <pic:blipFill>
                  <a:blip r:embed="rId1">
                    <a:extLst>
                      <a:ext uri="{28A0092B-C50C-407E-A947-70E740481C1C}">
                        <a14:useLocalDpi xmlns:a14="http://schemas.microsoft.com/office/drawing/2010/main" val="0"/>
                      </a:ext>
                    </a:extLst>
                  </a:blip>
                  <a:stretch>
                    <a:fillRect/>
                  </a:stretch>
                </pic:blipFill>
                <pic:spPr>
                  <a:xfrm>
                    <a:off x="0" y="0"/>
                    <a:ext cx="1554480" cy="621792"/>
                  </a:xfrm>
                  <a:prstGeom prst="rect">
                    <a:avLst/>
                  </a:prstGeom>
                </pic:spPr>
              </pic:pic>
            </a:graphicData>
          </a:graphic>
          <wp14:sizeRelH relativeFrom="margin">
            <wp14:pctWidth>0</wp14:pctWidth>
          </wp14:sizeRelH>
          <wp14:sizeRelV relativeFrom="margin">
            <wp14:pctHeight>0</wp14:pctHeight>
          </wp14:sizeRelV>
        </wp:anchor>
      </w:drawing>
    </w:r>
    <w:r w:rsidR="002C434B">
      <w:rPr>
        <w:rFonts w:ascii="Arial" w:hAnsi="Arial" w:cs="Arial"/>
        <w:color w:val="E31837"/>
      </w:rPr>
      <w:t>WORKSHEET</w:t>
    </w:r>
    <w:r>
      <w:rPr>
        <w:rFonts w:ascii="Arial" w:hAnsi="Arial" w:cs="Arial"/>
        <w:color w:val="E31837"/>
      </w:rPr>
      <w:t xml:space="preserve">: </w:t>
    </w:r>
    <w:r w:rsidR="002C434B">
      <w:rPr>
        <w:rFonts w:ascii="Arial" w:hAnsi="Arial" w:cs="Arial"/>
        <w:color w:val="E31837"/>
      </w:rPr>
      <w:t xml:space="preserve">COURSE </w:t>
    </w:r>
    <w:r>
      <w:rPr>
        <w:rFonts w:ascii="Arial" w:hAnsi="Arial" w:cs="Arial"/>
        <w:color w:val="E31837"/>
      </w:rPr>
      <w:t>LEARNING OUTCOMES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E340F57"/>
    <w:multiLevelType w:val="hybridMultilevel"/>
    <w:tmpl w:val="ED3A7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852137"/>
    <w:multiLevelType w:val="hybridMultilevel"/>
    <w:tmpl w:val="E5C08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7534646">
    <w:abstractNumId w:val="1"/>
  </w:num>
  <w:num w:numId="2" w16cid:durableId="735511995">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A26"/>
    <w:rsid w:val="001324CC"/>
    <w:rsid w:val="001D3873"/>
    <w:rsid w:val="002C434B"/>
    <w:rsid w:val="00324A71"/>
    <w:rsid w:val="00382965"/>
    <w:rsid w:val="00382ABF"/>
    <w:rsid w:val="00497EF1"/>
    <w:rsid w:val="005A3C78"/>
    <w:rsid w:val="00607FE1"/>
    <w:rsid w:val="00793A64"/>
    <w:rsid w:val="007C5189"/>
    <w:rsid w:val="008578A6"/>
    <w:rsid w:val="009B0967"/>
    <w:rsid w:val="009B7233"/>
    <w:rsid w:val="00AC6100"/>
    <w:rsid w:val="00C72A26"/>
    <w:rsid w:val="00C92ED3"/>
    <w:rsid w:val="00F60C1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C8CF322"/>
  <w15:chartTrackingRefBased/>
  <w15:docId w15:val="{B1082893-DC94-344E-A01D-F0704E419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2A26"/>
    <w:pPr>
      <w:spacing w:after="0" w:line="240" w:lineRule="auto"/>
    </w:pPr>
    <w:rPr>
      <w:rFonts w:eastAsiaTheme="minorEastAsia"/>
      <w:kern w:val="0"/>
      <w:lang w:val="en-US"/>
      <w14:ligatures w14:val="none"/>
    </w:rPr>
  </w:style>
  <w:style w:type="paragraph" w:styleId="Heading1">
    <w:name w:val="heading 1"/>
    <w:basedOn w:val="Normal"/>
    <w:next w:val="Normal"/>
    <w:link w:val="Heading1Char"/>
    <w:uiPriority w:val="9"/>
    <w:qFormat/>
    <w:rsid w:val="00C72A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2A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2A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2A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2A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2A2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2A2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2A2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2A2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2A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2A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2A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2A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2A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2A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2A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2A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2A26"/>
    <w:rPr>
      <w:rFonts w:eastAsiaTheme="majorEastAsia" w:cstheme="majorBidi"/>
      <w:color w:val="272727" w:themeColor="text1" w:themeTint="D8"/>
    </w:rPr>
  </w:style>
  <w:style w:type="paragraph" w:styleId="Title">
    <w:name w:val="Title"/>
    <w:basedOn w:val="Normal"/>
    <w:next w:val="Normal"/>
    <w:link w:val="TitleChar"/>
    <w:uiPriority w:val="10"/>
    <w:qFormat/>
    <w:rsid w:val="00C72A2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2A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2A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2A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2A26"/>
    <w:pPr>
      <w:spacing w:before="160"/>
      <w:jc w:val="center"/>
    </w:pPr>
    <w:rPr>
      <w:i/>
      <w:iCs/>
      <w:color w:val="404040" w:themeColor="text1" w:themeTint="BF"/>
    </w:rPr>
  </w:style>
  <w:style w:type="character" w:customStyle="1" w:styleId="QuoteChar">
    <w:name w:val="Quote Char"/>
    <w:basedOn w:val="DefaultParagraphFont"/>
    <w:link w:val="Quote"/>
    <w:uiPriority w:val="29"/>
    <w:rsid w:val="00C72A26"/>
    <w:rPr>
      <w:i/>
      <w:iCs/>
      <w:color w:val="404040" w:themeColor="text1" w:themeTint="BF"/>
    </w:rPr>
  </w:style>
  <w:style w:type="paragraph" w:styleId="ListParagraph">
    <w:name w:val="List Paragraph"/>
    <w:basedOn w:val="Normal"/>
    <w:uiPriority w:val="34"/>
    <w:qFormat/>
    <w:rsid w:val="00C72A26"/>
    <w:pPr>
      <w:ind w:left="720"/>
      <w:contextualSpacing/>
    </w:pPr>
  </w:style>
  <w:style w:type="character" w:styleId="IntenseEmphasis">
    <w:name w:val="Intense Emphasis"/>
    <w:basedOn w:val="DefaultParagraphFont"/>
    <w:uiPriority w:val="21"/>
    <w:qFormat/>
    <w:rsid w:val="00C72A26"/>
    <w:rPr>
      <w:i/>
      <w:iCs/>
      <w:color w:val="0F4761" w:themeColor="accent1" w:themeShade="BF"/>
    </w:rPr>
  </w:style>
  <w:style w:type="paragraph" w:styleId="IntenseQuote">
    <w:name w:val="Intense Quote"/>
    <w:basedOn w:val="Normal"/>
    <w:next w:val="Normal"/>
    <w:link w:val="IntenseQuoteChar"/>
    <w:uiPriority w:val="30"/>
    <w:qFormat/>
    <w:rsid w:val="00C72A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2A26"/>
    <w:rPr>
      <w:i/>
      <w:iCs/>
      <w:color w:val="0F4761" w:themeColor="accent1" w:themeShade="BF"/>
    </w:rPr>
  </w:style>
  <w:style w:type="character" w:styleId="IntenseReference">
    <w:name w:val="Intense Reference"/>
    <w:basedOn w:val="DefaultParagraphFont"/>
    <w:uiPriority w:val="32"/>
    <w:qFormat/>
    <w:rsid w:val="00C72A26"/>
    <w:rPr>
      <w:b/>
      <w:bCs/>
      <w:smallCaps/>
      <w:color w:val="0F4761" w:themeColor="accent1" w:themeShade="BF"/>
      <w:spacing w:val="5"/>
    </w:rPr>
  </w:style>
  <w:style w:type="table" w:styleId="TableGrid">
    <w:name w:val="Table Grid"/>
    <w:basedOn w:val="TableNormal"/>
    <w:uiPriority w:val="39"/>
    <w:rsid w:val="00C72A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72A26"/>
    <w:rPr>
      <w:color w:val="467886" w:themeColor="hyperlink"/>
      <w:u w:val="single"/>
    </w:rPr>
  </w:style>
  <w:style w:type="paragraph" w:styleId="Header">
    <w:name w:val="header"/>
    <w:basedOn w:val="Normal"/>
    <w:link w:val="HeaderChar"/>
    <w:uiPriority w:val="99"/>
    <w:unhideWhenUsed/>
    <w:rsid w:val="001324CC"/>
    <w:pPr>
      <w:tabs>
        <w:tab w:val="center" w:pos="4680"/>
        <w:tab w:val="right" w:pos="9360"/>
      </w:tabs>
    </w:pPr>
  </w:style>
  <w:style w:type="character" w:customStyle="1" w:styleId="HeaderChar">
    <w:name w:val="Header Char"/>
    <w:basedOn w:val="DefaultParagraphFont"/>
    <w:link w:val="Header"/>
    <w:uiPriority w:val="99"/>
    <w:rsid w:val="001324CC"/>
    <w:rPr>
      <w:rFonts w:eastAsiaTheme="minorEastAsia"/>
      <w:kern w:val="0"/>
      <w:lang w:val="en-US"/>
      <w14:ligatures w14:val="none"/>
    </w:rPr>
  </w:style>
  <w:style w:type="paragraph" w:styleId="Footer">
    <w:name w:val="footer"/>
    <w:basedOn w:val="Normal"/>
    <w:link w:val="FooterChar"/>
    <w:uiPriority w:val="99"/>
    <w:unhideWhenUsed/>
    <w:rsid w:val="001324CC"/>
    <w:pPr>
      <w:tabs>
        <w:tab w:val="center" w:pos="4680"/>
        <w:tab w:val="right" w:pos="9360"/>
      </w:tabs>
    </w:pPr>
  </w:style>
  <w:style w:type="character" w:customStyle="1" w:styleId="FooterChar">
    <w:name w:val="Footer Char"/>
    <w:basedOn w:val="DefaultParagraphFont"/>
    <w:link w:val="Footer"/>
    <w:uiPriority w:val="99"/>
    <w:rsid w:val="001324CC"/>
    <w:rPr>
      <w:rFonts w:eastAsiaTheme="minorEastAsia"/>
      <w:kern w:val="0"/>
      <w:lang w:val="en-US"/>
      <w14:ligatures w14:val="none"/>
    </w:rPr>
  </w:style>
  <w:style w:type="character" w:styleId="UnresolvedMention">
    <w:name w:val="Unresolved Mention"/>
    <w:basedOn w:val="DefaultParagraphFont"/>
    <w:uiPriority w:val="99"/>
    <w:semiHidden/>
    <w:unhideWhenUsed/>
    <w:rsid w:val="00607F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ffalo.edu/content/dam/www/catt/develop/design/D5-LearningOutcomes/Assets/D5%20-%20Learning%20Outcomes%20-%20Fink's%20Verbs.docx"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uwaterloo.ca/centre-for-teaching-excellence/catalogs/tip-sheets/blooms-taxonomy-learning-activities-and-assessments" TargetMode="External"/><Relationship Id="rId12" Type="http://schemas.openxmlformats.org/officeDocument/2006/relationships/hyperlink" Target="https://www.yorku.ca/teachingcommons/wp-content/uploads/sites/993/2026/05/LearningOutcomes_Licensed_Web.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uffalo.edu/content/dam/www/catt/develop/design/D5-LearningOutcomes/Assets/D5%20-%20Learning%20Outcomes%20-%20Fink's%20Verbs.docx"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uwaterloo.ca/centre-for-teaching-excellence/catalogs/tip-sheets/blooms-taxonomy-learning-activities-and-assessments" TargetMode="External"/><Relationship Id="rId4" Type="http://schemas.openxmlformats.org/officeDocument/2006/relationships/webSettings" Target="webSettings.xml"/><Relationship Id="rId9" Type="http://schemas.openxmlformats.org/officeDocument/2006/relationships/hyperlink" Target="https://www.yorku.ca/teachingcommons/wp-content/uploads/sites/993/2026/05/LearningOutcomes_Licensed_Web.pdf"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477</Words>
  <Characters>2721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May</dc:creator>
  <cp:keywords/>
  <dc:description/>
  <cp:lastModifiedBy>Natasha May</cp:lastModifiedBy>
  <cp:revision>7</cp:revision>
  <dcterms:created xsi:type="dcterms:W3CDTF">2026-07-09T16:22:00Z</dcterms:created>
  <dcterms:modified xsi:type="dcterms:W3CDTF">2026-07-09T17:18:00Z</dcterms:modified>
</cp:coreProperties>
</file>