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00000001" w14:textId="77777777" w:rsidR="00C86BB3" w:rsidRDefault="008971FD">
      <w:pPr>
        <w:pStyle w:val="Heading2"/>
        <w:keepNext w:val="0"/>
        <w:keepLines w:val="0"/>
        <w:pBdr>
          <w:top w:val="single" w:sz="6" w:space="11" w:color="D8AB4C"/>
          <w:left w:val="single" w:sz="6" w:space="11" w:color="D8AB4C"/>
          <w:bottom w:val="single" w:sz="6" w:space="11" w:color="D8AB4C"/>
          <w:right w:val="single" w:sz="96" w:space="11" w:color="D8AB4C"/>
          <w:between w:val="single" w:sz="6" w:space="11" w:color="D8AB4C"/>
        </w:pBdr>
        <w:shd w:val="clear" w:color="auto" w:fill="FFFFFF"/>
        <w:spacing w:before="460" w:after="460" w:line="264" w:lineRule="auto"/>
        <w:rPr>
          <w:color w:val="222222"/>
          <w:sz w:val="34"/>
          <w:szCs w:val="34"/>
        </w:rPr>
      </w:pPr>
      <w:bookmarkStart w:id="0" w:name="_e1xhjp87ops2" w:colFirst="0" w:colLast="0"/>
      <w:bookmarkEnd w:id="0"/>
      <w:r>
        <w:rPr>
          <w:color w:val="222222"/>
          <w:sz w:val="34"/>
          <w:szCs w:val="34"/>
        </w:rPr>
        <w:t>Interdisciplinary</w:t>
      </w:r>
    </w:p>
    <w:p w14:paraId="00000002" w14:textId="77777777" w:rsidR="00C86BB3" w:rsidRDefault="008971FD">
      <w:pPr>
        <w:pBdr>
          <w:left w:val="none" w:sz="0" w:space="22" w:color="auto"/>
        </w:pBdr>
        <w:shd w:val="clear" w:color="auto" w:fill="FFFFFF"/>
        <w:spacing w:before="220" w:after="220" w:line="408" w:lineRule="auto"/>
        <w:rPr>
          <w:rFonts w:ascii="Roboto" w:eastAsia="Roboto" w:hAnsi="Roboto" w:cs="Roboto"/>
          <w:color w:val="222222"/>
        </w:rPr>
      </w:pPr>
      <w:r>
        <w:rPr>
          <w:rFonts w:ascii="Roboto" w:eastAsia="Roboto" w:hAnsi="Roboto" w:cs="Roboto"/>
          <w:color w:val="222222"/>
        </w:rPr>
        <w:t>Teaching sustainability is both exciting and challenging because of the interdisciplinary nature of the problems at stake.  When teaching these issues, instructors are often working outside their own areas of expertise.  How do you bring new content knowle</w:t>
      </w:r>
      <w:r>
        <w:rPr>
          <w:rFonts w:ascii="Roboto" w:eastAsia="Roboto" w:hAnsi="Roboto" w:cs="Roboto"/>
          <w:color w:val="222222"/>
        </w:rPr>
        <w:t>dge into the classroom without overburdening yourself?  Ways to build interdisciplinary classrooms include:</w:t>
      </w:r>
    </w:p>
    <w:p w14:paraId="00000003" w14:textId="77777777" w:rsidR="00C86BB3" w:rsidRDefault="008971FD">
      <w:pPr>
        <w:pStyle w:val="Heading3"/>
        <w:keepNext w:val="0"/>
        <w:keepLines w:val="0"/>
        <w:shd w:val="clear" w:color="auto" w:fill="FFFFFF"/>
        <w:spacing w:before="460" w:after="220" w:line="324" w:lineRule="auto"/>
        <w:rPr>
          <w:color w:val="006682"/>
          <w:sz w:val="26"/>
          <w:szCs w:val="26"/>
        </w:rPr>
      </w:pPr>
      <w:bookmarkStart w:id="1" w:name="_wd91vv8da0st" w:colFirst="0" w:colLast="0"/>
      <w:bookmarkEnd w:id="1"/>
      <w:r>
        <w:rPr>
          <w:color w:val="006682"/>
          <w:sz w:val="26"/>
          <w:szCs w:val="26"/>
        </w:rPr>
        <w:t>Guest Speakers:</w:t>
      </w:r>
    </w:p>
    <w:p w14:paraId="00000004" w14:textId="77777777" w:rsidR="00C86BB3" w:rsidRDefault="008971FD">
      <w:pPr>
        <w:numPr>
          <w:ilvl w:val="0"/>
          <w:numId w:val="1"/>
        </w:numPr>
        <w:shd w:val="clear" w:color="auto" w:fill="FFFFFF"/>
        <w:spacing w:before="440" w:line="408" w:lineRule="auto"/>
      </w:pPr>
      <w:r>
        <w:rPr>
          <w:rFonts w:ascii="Roboto" w:eastAsia="Roboto" w:hAnsi="Roboto" w:cs="Roboto"/>
          <w:color w:val="222222"/>
          <w:sz w:val="24"/>
          <w:szCs w:val="24"/>
        </w:rPr>
        <w:t>Guest speakers extend the boundaries of the classroom, helping students to see the course as a part of a larger network of ideas and</w:t>
      </w:r>
      <w:r>
        <w:rPr>
          <w:rFonts w:ascii="Roboto" w:eastAsia="Roboto" w:hAnsi="Roboto" w:cs="Roboto"/>
          <w:color w:val="222222"/>
          <w:sz w:val="24"/>
          <w:szCs w:val="24"/>
        </w:rPr>
        <w:t xml:space="preserve"> conversations.</w:t>
      </w:r>
    </w:p>
    <w:p w14:paraId="00000005" w14:textId="77777777" w:rsidR="00C86BB3" w:rsidRDefault="008971FD">
      <w:pPr>
        <w:numPr>
          <w:ilvl w:val="0"/>
          <w:numId w:val="1"/>
        </w:numPr>
        <w:shd w:val="clear" w:color="auto" w:fill="FFFFFF"/>
        <w:spacing w:line="408" w:lineRule="auto"/>
      </w:pPr>
      <w:r>
        <w:rPr>
          <w:rFonts w:ascii="Roboto" w:eastAsia="Roboto" w:hAnsi="Roboto" w:cs="Roboto"/>
          <w:color w:val="222222"/>
          <w:sz w:val="24"/>
          <w:szCs w:val="24"/>
        </w:rPr>
        <w:t>The expert’s visit presents an external motivation for students to engage with readings and assignments.</w:t>
      </w:r>
    </w:p>
    <w:p w14:paraId="00000006" w14:textId="77777777" w:rsidR="00C86BB3" w:rsidRDefault="008971FD">
      <w:pPr>
        <w:numPr>
          <w:ilvl w:val="0"/>
          <w:numId w:val="1"/>
        </w:numPr>
        <w:shd w:val="clear" w:color="auto" w:fill="FFFFFF"/>
        <w:spacing w:line="408" w:lineRule="auto"/>
      </w:pPr>
      <w:r>
        <w:rPr>
          <w:rFonts w:ascii="Roboto" w:eastAsia="Roboto" w:hAnsi="Roboto" w:cs="Roboto"/>
          <w:color w:val="222222"/>
          <w:sz w:val="24"/>
          <w:szCs w:val="24"/>
        </w:rPr>
        <w:t>Careful planning can help to ensure that guest contributions will enhance student learning.</w:t>
      </w:r>
    </w:p>
    <w:p w14:paraId="00000007" w14:textId="77777777" w:rsidR="00C86BB3" w:rsidRDefault="008971FD">
      <w:pPr>
        <w:numPr>
          <w:ilvl w:val="0"/>
          <w:numId w:val="1"/>
        </w:numPr>
        <w:shd w:val="clear" w:color="auto" w:fill="FFFFFF"/>
        <w:spacing w:line="408" w:lineRule="auto"/>
      </w:pPr>
      <w:r>
        <w:rPr>
          <w:rFonts w:ascii="Roboto" w:eastAsia="Roboto" w:hAnsi="Roboto" w:cs="Roboto"/>
          <w:color w:val="222222"/>
          <w:sz w:val="24"/>
          <w:szCs w:val="24"/>
        </w:rPr>
        <w:t xml:space="preserve">Let guests know ahead of time the topic of </w:t>
      </w:r>
      <w:r>
        <w:rPr>
          <w:rFonts w:ascii="Roboto" w:eastAsia="Roboto" w:hAnsi="Roboto" w:cs="Roboto"/>
          <w:color w:val="222222"/>
          <w:sz w:val="24"/>
          <w:szCs w:val="24"/>
        </w:rPr>
        <w:t>the course and how their visits fit with the themes of the class.</w:t>
      </w:r>
    </w:p>
    <w:p w14:paraId="00000008" w14:textId="77777777" w:rsidR="00C86BB3" w:rsidRDefault="008971FD">
      <w:pPr>
        <w:numPr>
          <w:ilvl w:val="0"/>
          <w:numId w:val="1"/>
        </w:numPr>
        <w:shd w:val="clear" w:color="auto" w:fill="FFFFFF"/>
        <w:spacing w:line="408" w:lineRule="auto"/>
      </w:pPr>
      <w:r>
        <w:rPr>
          <w:rFonts w:ascii="Roboto" w:eastAsia="Roboto" w:hAnsi="Roboto" w:cs="Roboto"/>
          <w:color w:val="222222"/>
          <w:sz w:val="24"/>
          <w:szCs w:val="24"/>
        </w:rPr>
        <w:t>Assign students to submit questions in the expert’s area of interest.</w:t>
      </w:r>
    </w:p>
    <w:p w14:paraId="00000009" w14:textId="77777777" w:rsidR="00C86BB3" w:rsidRDefault="008971FD">
      <w:pPr>
        <w:numPr>
          <w:ilvl w:val="0"/>
          <w:numId w:val="1"/>
        </w:numPr>
        <w:shd w:val="clear" w:color="auto" w:fill="FFFFFF"/>
        <w:spacing w:line="408" w:lineRule="auto"/>
      </w:pPr>
      <w:r>
        <w:rPr>
          <w:rFonts w:ascii="Roboto" w:eastAsia="Roboto" w:hAnsi="Roboto" w:cs="Roboto"/>
          <w:color w:val="222222"/>
          <w:sz w:val="24"/>
          <w:szCs w:val="24"/>
        </w:rPr>
        <w:t>Avoid presentations; invite the expert to class to participate in an interview instead.</w:t>
      </w:r>
    </w:p>
    <w:p w14:paraId="0000000A" w14:textId="77777777" w:rsidR="00C86BB3" w:rsidRDefault="008971FD">
      <w:pPr>
        <w:numPr>
          <w:ilvl w:val="0"/>
          <w:numId w:val="1"/>
        </w:numPr>
        <w:shd w:val="clear" w:color="auto" w:fill="FFFFFF"/>
        <w:spacing w:after="440" w:line="408" w:lineRule="auto"/>
      </w:pPr>
      <w:r>
        <w:rPr>
          <w:rFonts w:ascii="Roboto" w:eastAsia="Roboto" w:hAnsi="Roboto" w:cs="Roboto"/>
          <w:color w:val="222222"/>
          <w:sz w:val="24"/>
          <w:szCs w:val="24"/>
        </w:rPr>
        <w:t>Consider inviting guests with op</w:t>
      </w:r>
      <w:r>
        <w:rPr>
          <w:rFonts w:ascii="Roboto" w:eastAsia="Roboto" w:hAnsi="Roboto" w:cs="Roboto"/>
          <w:color w:val="222222"/>
          <w:sz w:val="24"/>
          <w:szCs w:val="24"/>
        </w:rPr>
        <w:t>posing views.</w:t>
      </w:r>
    </w:p>
    <w:p w14:paraId="0000000B" w14:textId="77777777" w:rsidR="00C86BB3" w:rsidRDefault="008971FD">
      <w:pPr>
        <w:rPr>
          <w:rFonts w:ascii="Roboto" w:eastAsia="Roboto" w:hAnsi="Roboto" w:cs="Roboto"/>
          <w:color w:val="222222"/>
          <w:sz w:val="24"/>
          <w:szCs w:val="24"/>
          <w:highlight w:val="white"/>
        </w:rPr>
      </w:pPr>
      <w:r>
        <w:rPr>
          <w:rFonts w:ascii="Roboto" w:eastAsia="Roboto" w:hAnsi="Roboto" w:cs="Roboto"/>
          <w:color w:val="222222"/>
          <w:sz w:val="24"/>
          <w:szCs w:val="24"/>
          <w:highlight w:val="white"/>
        </w:rPr>
        <w:t xml:space="preserve">(Information on guest speakers adapted from David Cook’s comments in </w:t>
      </w:r>
      <w:r>
        <w:rPr>
          <w:rFonts w:ascii="Roboto" w:eastAsia="Roboto" w:hAnsi="Roboto" w:cs="Roboto"/>
          <w:i/>
          <w:color w:val="222222"/>
          <w:sz w:val="24"/>
          <w:szCs w:val="24"/>
          <w:highlight w:val="white"/>
        </w:rPr>
        <w:t>Teaching and Learning Exchange</w:t>
      </w:r>
      <w:r>
        <w:rPr>
          <w:rFonts w:ascii="Roboto" w:eastAsia="Roboto" w:hAnsi="Roboto" w:cs="Roboto"/>
          <w:color w:val="222222"/>
          <w:sz w:val="24"/>
          <w:szCs w:val="24"/>
          <w:highlight w:val="white"/>
        </w:rPr>
        <w:t xml:space="preserve"> 12/2 (Winter 2005): 9, published by the University Teaching Services at the University of Alberta, Canada)</w:t>
      </w:r>
    </w:p>
    <w:p w14:paraId="0000000C" w14:textId="77777777" w:rsidR="00C86BB3" w:rsidRDefault="008971FD">
      <w:pPr>
        <w:pStyle w:val="Heading3"/>
        <w:keepNext w:val="0"/>
        <w:keepLines w:val="0"/>
        <w:shd w:val="clear" w:color="auto" w:fill="FFFFFF"/>
        <w:spacing w:before="460" w:after="220" w:line="324" w:lineRule="auto"/>
        <w:rPr>
          <w:color w:val="006682"/>
          <w:sz w:val="26"/>
          <w:szCs w:val="26"/>
        </w:rPr>
      </w:pPr>
      <w:bookmarkStart w:id="2" w:name="_vi5qearw2glv" w:colFirst="0" w:colLast="0"/>
      <w:bookmarkEnd w:id="2"/>
      <w:r>
        <w:rPr>
          <w:color w:val="006682"/>
          <w:sz w:val="26"/>
          <w:szCs w:val="26"/>
        </w:rPr>
        <w:t>Cooperative Learning:</w:t>
      </w:r>
    </w:p>
    <w:p w14:paraId="0000000D" w14:textId="77777777" w:rsidR="00C86BB3" w:rsidRDefault="008971FD">
      <w:pPr>
        <w:numPr>
          <w:ilvl w:val="0"/>
          <w:numId w:val="2"/>
        </w:numPr>
        <w:shd w:val="clear" w:color="auto" w:fill="FFFFFF"/>
        <w:spacing w:before="440" w:line="408" w:lineRule="auto"/>
      </w:pPr>
      <w:r>
        <w:rPr>
          <w:rFonts w:ascii="Roboto" w:eastAsia="Roboto" w:hAnsi="Roboto" w:cs="Roboto"/>
          <w:color w:val="222222"/>
          <w:sz w:val="24"/>
          <w:szCs w:val="24"/>
        </w:rPr>
        <w:t>Take advantage of students’ diverse disciplinary and experiential knowledge.</w:t>
      </w:r>
    </w:p>
    <w:p w14:paraId="0000000E" w14:textId="77777777" w:rsidR="00C86BB3" w:rsidRDefault="008971FD">
      <w:pPr>
        <w:numPr>
          <w:ilvl w:val="0"/>
          <w:numId w:val="2"/>
        </w:numPr>
        <w:shd w:val="clear" w:color="auto" w:fill="FFFFFF"/>
        <w:spacing w:after="440" w:line="408" w:lineRule="auto"/>
      </w:pPr>
      <w:r>
        <w:rPr>
          <w:rFonts w:ascii="Roboto" w:eastAsia="Roboto" w:hAnsi="Roboto" w:cs="Roboto"/>
          <w:color w:val="222222"/>
          <w:sz w:val="24"/>
          <w:szCs w:val="24"/>
        </w:rPr>
        <w:t xml:space="preserve">See also the new book, </w:t>
      </w:r>
      <w:hyperlink r:id="rId5">
        <w:r>
          <w:rPr>
            <w:rFonts w:ascii="Roboto" w:eastAsia="Roboto" w:hAnsi="Roboto" w:cs="Roboto"/>
            <w:i/>
            <w:color w:val="006682"/>
            <w:sz w:val="24"/>
            <w:szCs w:val="24"/>
          </w:rPr>
          <w:t>Cooperative Learning in Higher Education: Across the Disciplines</w:t>
        </w:r>
      </w:hyperlink>
      <w:r>
        <w:rPr>
          <w:rFonts w:ascii="Roboto" w:eastAsia="Roboto" w:hAnsi="Roboto" w:cs="Roboto"/>
          <w:color w:val="222222"/>
          <w:sz w:val="24"/>
          <w:szCs w:val="24"/>
        </w:rPr>
        <w:t xml:space="preserve"> (2010), edited by Barbara Millis and published by the National Teaching and Learning Forum.</w:t>
      </w:r>
    </w:p>
    <w:p w14:paraId="0000000F" w14:textId="77777777" w:rsidR="00C86BB3" w:rsidRDefault="00C86BB3"/>
    <w:sectPr w:rsidR="00C86BB3">
      <w:pgSz w:w="12240" w:h="20160"/>
      <w:pgMar w:top="360" w:right="720" w:bottom="36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Roboto">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D052C4"/>
    <w:multiLevelType w:val="multilevel"/>
    <w:tmpl w:val="FAE02A64"/>
    <w:lvl w:ilvl="0">
      <w:start w:val="1"/>
      <w:numFmt w:val="bullet"/>
      <w:lvlText w:val="●"/>
      <w:lvlJc w:val="left"/>
      <w:pPr>
        <w:ind w:left="720" w:hanging="360"/>
      </w:pPr>
      <w:rPr>
        <w:rFonts w:ascii="Roboto" w:eastAsia="Roboto" w:hAnsi="Roboto" w:cs="Roboto"/>
        <w:color w:val="222222"/>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4251B9F"/>
    <w:multiLevelType w:val="multilevel"/>
    <w:tmpl w:val="A750141A"/>
    <w:lvl w:ilvl="0">
      <w:start w:val="1"/>
      <w:numFmt w:val="bullet"/>
      <w:lvlText w:val="●"/>
      <w:lvlJc w:val="left"/>
      <w:pPr>
        <w:ind w:left="720" w:hanging="360"/>
      </w:pPr>
      <w:rPr>
        <w:rFonts w:ascii="Roboto" w:eastAsia="Roboto" w:hAnsi="Roboto" w:cs="Roboto"/>
        <w:color w:val="222222"/>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487012388">
    <w:abstractNumId w:val="1"/>
  </w:num>
  <w:num w:numId="2" w16cid:durableId="391376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6BB3"/>
    <w:rsid w:val="008971FD"/>
    <w:rsid w:val="00C86BB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CC4ED4F-84E8-41BD-AF6A-448E19BF2F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CA"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amazon.com/Cooperative-Learning-Higher-Education-Disciplines/dp/157922329X/ref=sr_1_3?ie=UTF8&amp;s=books&amp;qid=1273849769&amp;sr=1-3"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253</Words>
  <Characters>1444</Characters>
  <Application>Microsoft Office Word</Application>
  <DocSecurity>0</DocSecurity>
  <Lines>12</Lines>
  <Paragraphs>3</Paragraphs>
  <ScaleCrop>false</ScaleCrop>
  <Company/>
  <LinksUpToDate>false</LinksUpToDate>
  <CharactersWithSpaces>1694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Tracy Bhoola</dc:creator>
  <cp:lastModifiedBy>Tracy Bhoola</cp:lastModifiedBy>
  <cp:revision>2</cp:revision>
  <dcterms:created xsi:type="dcterms:W3CDTF">2022-05-05T16:38:00Z</dcterms:created>
  <dcterms:modified xsi:type="dcterms:W3CDTF">2022-05-05T16:38:00Z</dcterms:modified>
</cp:coreProperties>
</file>