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02" w14:textId="77777777" w:rsidR="00766454" w:rsidRDefault="00BD3305">
      <w:pPr>
        <w:shd w:val="clear" w:color="auto" w:fill="FFFFFF"/>
        <w:spacing w:after="200" w:line="384" w:lineRule="auto"/>
        <w:jc w:val="center"/>
        <w:rPr>
          <w:rFonts w:ascii="Roboto" w:eastAsia="Roboto" w:hAnsi="Roboto" w:cs="Roboto"/>
          <w:b/>
          <w:color w:val="231F20"/>
          <w:sz w:val="30"/>
          <w:szCs w:val="30"/>
        </w:rPr>
      </w:pPr>
      <w:r>
        <w:rPr>
          <w:rFonts w:ascii="Roboto" w:eastAsia="Roboto" w:hAnsi="Roboto" w:cs="Roboto"/>
          <w:b/>
          <w:color w:val="231F20"/>
          <w:sz w:val="30"/>
          <w:szCs w:val="30"/>
        </w:rPr>
        <w:t xml:space="preserve">Key Competencies for Sustainability </w:t>
      </w:r>
    </w:p>
    <w:p w14:paraId="00000003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Systems thinking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: the abilities to recognize and understand relationships; to analyse complex systems; to think of how systems are embedded within different domains and different scales; and to deal with uncertainty. </w:t>
      </w:r>
    </w:p>
    <w:p w14:paraId="00000004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Anticipatory competency: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the abilities to understand a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nd evaluate multiple futures – possible, probable and desirable; to create one’s own visions for the future; to apply the precautionary principle; to assess the consequences of actions; and to deal with risks and changes. </w:t>
      </w:r>
    </w:p>
    <w:p w14:paraId="00000005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Normative competency: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the abiliti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es to understand and reflect on the norms and values that underlie one’s actions; and to negotiate sustainability values, principles, goals, and targets, in a context of conflicts of interests and trade-offs, uncertain knowledge and contradictions. </w:t>
      </w:r>
    </w:p>
    <w:p w14:paraId="00000006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Strate</w:t>
      </w:r>
      <w:r>
        <w:rPr>
          <w:rFonts w:ascii="Roboto" w:eastAsia="Roboto" w:hAnsi="Roboto" w:cs="Roboto"/>
          <w:b/>
          <w:color w:val="231F20"/>
          <w:sz w:val="24"/>
          <w:szCs w:val="24"/>
        </w:rPr>
        <w:t xml:space="preserve">gic competency: 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the abilities to collectively develop and implement innovative actions that further sustainability at the local level and further afield. </w:t>
      </w:r>
    </w:p>
    <w:p w14:paraId="00000007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Collaboration competency</w:t>
      </w:r>
      <w:r>
        <w:rPr>
          <w:rFonts w:ascii="Roboto" w:eastAsia="Roboto" w:hAnsi="Roboto" w:cs="Roboto"/>
          <w:color w:val="231F20"/>
          <w:sz w:val="24"/>
          <w:szCs w:val="24"/>
        </w:rPr>
        <w:t>: the abilities to learn from others; to understand and respect the needs, pe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rspectives and actions of others (empathy); to understand, relate to and be sensitive to others (empathic leadership); to deal with conflicts in a group; and to facilitate collaborative and participatory problem solving. </w:t>
      </w:r>
    </w:p>
    <w:p w14:paraId="00000008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Critical thinking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: the 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ability to question norms, practices and opinions; to reflect on one's values, perceptions and actions; and to take a position in the sustainability discourse. </w:t>
      </w:r>
    </w:p>
    <w:p w14:paraId="00000009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 xml:space="preserve">Self-awareness competency: 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the ability to reflect on one’s own role in the local community and 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(global) society; to continually evaluate and further motivate one’s actions; and to deal with one’s feelings and desires. </w:t>
      </w:r>
    </w:p>
    <w:p w14:paraId="0000000A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t>Integrated problem-solving competency: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the overarching ability to apply different problem-solving frameworks to complex sustainabili</w:t>
      </w:r>
      <w:r>
        <w:rPr>
          <w:rFonts w:ascii="Roboto" w:eastAsia="Roboto" w:hAnsi="Roboto" w:cs="Roboto"/>
          <w:color w:val="231F20"/>
          <w:sz w:val="24"/>
          <w:szCs w:val="24"/>
        </w:rPr>
        <w:t>ty problems and develop viable, inclusive and equitable solution options that promote sustainable development, integrating the above mentioned competences</w:t>
      </w:r>
    </w:p>
    <w:p w14:paraId="0000000B" w14:textId="77777777" w:rsidR="00766454" w:rsidRDefault="00BD3305">
      <w:pPr>
        <w:shd w:val="clear" w:color="auto" w:fill="FFFFFF"/>
        <w:spacing w:after="200" w:line="384" w:lineRule="auto"/>
        <w:jc w:val="center"/>
        <w:rPr>
          <w:rFonts w:ascii="Roboto" w:eastAsia="Roboto" w:hAnsi="Roboto" w:cs="Roboto"/>
          <w:b/>
          <w:color w:val="231F20"/>
          <w:sz w:val="30"/>
          <w:szCs w:val="30"/>
        </w:rPr>
      </w:pPr>
      <w:r>
        <w:rPr>
          <w:rFonts w:ascii="Roboto" w:eastAsia="Roboto" w:hAnsi="Roboto" w:cs="Roboto"/>
          <w:b/>
          <w:color w:val="231F20"/>
          <w:sz w:val="30"/>
          <w:szCs w:val="30"/>
        </w:rPr>
        <w:t>Specific Learning Objectives for the SDGs</w:t>
      </w:r>
    </w:p>
    <w:p w14:paraId="0000000C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For each SDG, learning objectives are described in the cogn</w:t>
      </w:r>
      <w:r>
        <w:rPr>
          <w:rFonts w:ascii="Roboto" w:eastAsia="Roboto" w:hAnsi="Roboto" w:cs="Roboto"/>
          <w:color w:val="231F20"/>
          <w:sz w:val="24"/>
          <w:szCs w:val="24"/>
        </w:rPr>
        <w:t>itive, socio-emotional and behavioural domains. Additionally, for each SDG, indicative topics and pedagogical approaches are outlined.</w:t>
      </w:r>
    </w:p>
    <w:p w14:paraId="0000000D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The cognitive domain comprises knowledge and thinking skills necessary to better understand the SDG and the challenges in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achieving it. </w:t>
      </w:r>
    </w:p>
    <w:p w14:paraId="0000000E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The socio-emotional domain includes social skills that enable learners to collaborate, negotiate and communicate to promote the SDGs as well as self-reflection skills, values, attitudes and motivations that enable learners to develop themse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lves. </w:t>
      </w:r>
    </w:p>
    <w:p w14:paraId="0000000F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The behavioural domain describes action competencies. </w:t>
      </w:r>
    </w:p>
    <w:p w14:paraId="00000010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b/>
          <w:color w:val="231F20"/>
          <w:sz w:val="24"/>
          <w:szCs w:val="24"/>
        </w:rPr>
      </w:pPr>
    </w:p>
    <w:p w14:paraId="00000011" w14:textId="77777777" w:rsidR="00766454" w:rsidRDefault="00BD3305">
      <w:pPr>
        <w:shd w:val="clear" w:color="auto" w:fill="FFFFFF"/>
        <w:spacing w:after="200" w:line="384" w:lineRule="auto"/>
        <w:jc w:val="center"/>
        <w:rPr>
          <w:rFonts w:ascii="Roboto" w:eastAsia="Roboto" w:hAnsi="Roboto" w:cs="Roboto"/>
          <w:b/>
          <w:color w:val="231F20"/>
          <w:sz w:val="24"/>
          <w:szCs w:val="24"/>
        </w:rPr>
      </w:pPr>
      <w:r>
        <w:rPr>
          <w:rFonts w:ascii="Roboto" w:eastAsia="Roboto" w:hAnsi="Roboto" w:cs="Roboto"/>
          <w:b/>
          <w:color w:val="231F20"/>
          <w:sz w:val="24"/>
          <w:szCs w:val="24"/>
        </w:rPr>
        <w:lastRenderedPageBreak/>
        <w:t>Learning Outcomes and Competences</w:t>
      </w:r>
    </w:p>
    <w:p w14:paraId="00000012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A key goal of education for sustainable development is to achieve transformative sustainability learning (TSL). This is a departure from typical teaching and l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earning in Higher Education which tends to privilege cognitive development. While cognitive learning is highly regarded for developing reasoning skills and critical thinking, it neglects ethical values or the action-based psychomotor experiences which TSL 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views as critical for holistic human development. </w:t>
      </w:r>
    </w:p>
    <w:p w14:paraId="00000013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Learning activities and assessments are designed to support students to acquire the specified Learning Outcomes, an approach known as constructive alignment. When seeking to integrate SDGs in teaching, a c</w:t>
      </w:r>
      <w:r>
        <w:rPr>
          <w:rFonts w:ascii="Roboto" w:eastAsia="Roboto" w:hAnsi="Roboto" w:cs="Roboto"/>
          <w:color w:val="231F20"/>
          <w:sz w:val="24"/>
          <w:szCs w:val="24"/>
        </w:rPr>
        <w:t>lass or program should expand its focus to consider socio-emotional and behavioural domains.  Learning outcomes need to be clearly articulated for the learner so that they may realize the relatedness of material within a class or course of study.</w:t>
      </w:r>
    </w:p>
    <w:p w14:paraId="00000014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Some exam</w:t>
      </w:r>
      <w:r>
        <w:rPr>
          <w:rFonts w:ascii="Roboto" w:eastAsia="Roboto" w:hAnsi="Roboto" w:cs="Roboto"/>
          <w:color w:val="231F20"/>
          <w:sz w:val="24"/>
          <w:szCs w:val="24"/>
        </w:rPr>
        <w:t>ples of Learning Outcomes which speak to the SDGs include.  At the end of this course, the student will be able to:</w:t>
      </w:r>
    </w:p>
    <w:p w14:paraId="00000015" w14:textId="77777777" w:rsidR="00766454" w:rsidRDefault="00BD3305">
      <w:pPr>
        <w:numPr>
          <w:ilvl w:val="0"/>
          <w:numId w:val="2"/>
        </w:numPr>
        <w:shd w:val="clear" w:color="auto" w:fill="FFFFFF"/>
        <w:spacing w:before="380"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reflect on how individual lifestyle choices influence social, economic and environmental development </w:t>
      </w:r>
    </w:p>
    <w:p w14:paraId="00000016" w14:textId="77777777" w:rsidR="00766454" w:rsidRDefault="00BD3305">
      <w:pPr>
        <w:numPr>
          <w:ilvl w:val="0"/>
          <w:numId w:val="2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plan, implement and evaluate consumption-related activities using existing sustainability criteria </w:t>
      </w:r>
    </w:p>
    <w:p w14:paraId="00000017" w14:textId="77777777" w:rsidR="00766454" w:rsidRDefault="00BD3305">
      <w:pPr>
        <w:numPr>
          <w:ilvl w:val="0"/>
          <w:numId w:val="2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explain basic ecology with reference to local and global ecosystems, identify local species and categorize biodiversity </w:t>
      </w:r>
    </w:p>
    <w:p w14:paraId="00000018" w14:textId="77777777" w:rsidR="00766454" w:rsidRDefault="00BD3305">
      <w:pPr>
        <w:numPr>
          <w:ilvl w:val="0"/>
          <w:numId w:val="2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>argue against destructive environmental practices that cause biodiversity loss</w:t>
      </w:r>
    </w:p>
    <w:p w14:paraId="00000019" w14:textId="77777777" w:rsidR="00766454" w:rsidRDefault="00BD3305">
      <w:pPr>
        <w:numPr>
          <w:ilvl w:val="0"/>
          <w:numId w:val="2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connect with local groups working toward biodiversity conservation in their area </w:t>
      </w:r>
    </w:p>
    <w:p w14:paraId="0000001A" w14:textId="77777777" w:rsidR="00766454" w:rsidRDefault="00BD3305">
      <w:pPr>
        <w:numPr>
          <w:ilvl w:val="0"/>
          <w:numId w:val="2"/>
        </w:numPr>
        <w:shd w:val="clear" w:color="auto" w:fill="FFFFFF"/>
        <w:spacing w:after="380" w:line="384" w:lineRule="auto"/>
      </w:pPr>
      <w:r>
        <w:rPr>
          <w:rFonts w:ascii="Roboto" w:eastAsia="Roboto" w:hAnsi="Roboto" w:cs="Roboto"/>
          <w:color w:val="231F20"/>
          <w:sz w:val="24"/>
          <w:szCs w:val="24"/>
        </w:rPr>
        <w:t>envision sustainable lifestyles</w:t>
      </w:r>
    </w:p>
    <w:p w14:paraId="0000001B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Student learning can also be articulated in terms of the acquis</w:t>
      </w:r>
      <w:r>
        <w:rPr>
          <w:rFonts w:ascii="Roboto" w:eastAsia="Roboto" w:hAnsi="Roboto" w:cs="Roboto"/>
          <w:color w:val="231F20"/>
          <w:sz w:val="24"/>
          <w:szCs w:val="24"/>
        </w:rPr>
        <w:t>ition of competences, i.e. knowledge, skills and attributes. These tend to be more general and consider the learning across a whole program. Learning Outcomes describe what a student will be able to do in a measurable way. Competences can be drawn on to ar</w:t>
      </w:r>
      <w:r>
        <w:rPr>
          <w:rFonts w:ascii="Roboto" w:eastAsia="Roboto" w:hAnsi="Roboto" w:cs="Roboto"/>
          <w:color w:val="231F20"/>
          <w:sz w:val="24"/>
          <w:szCs w:val="24"/>
        </w:rPr>
        <w:t>ticulate program level learning outcomes or to scaffold skills and attribute development over a number of classes or years. Core competences have been identified for education for sustainable development which include</w:t>
      </w:r>
      <w:r>
        <w:rPr>
          <w:rFonts w:ascii="Roboto" w:eastAsia="Roboto" w:hAnsi="Roboto" w:cs="Roboto"/>
          <w:color w:val="231F20"/>
          <w:sz w:val="18"/>
          <w:szCs w:val="18"/>
        </w:rPr>
        <w:t>5</w:t>
      </w:r>
      <w:r>
        <w:rPr>
          <w:rFonts w:ascii="Roboto" w:eastAsia="Roboto" w:hAnsi="Roboto" w:cs="Roboto"/>
          <w:color w:val="231F20"/>
          <w:sz w:val="24"/>
          <w:szCs w:val="24"/>
        </w:rPr>
        <w:t>:</w:t>
      </w:r>
    </w:p>
    <w:p w14:paraId="0000001C" w14:textId="77777777" w:rsidR="00766454" w:rsidRDefault="00BD3305">
      <w:pPr>
        <w:numPr>
          <w:ilvl w:val="0"/>
          <w:numId w:val="1"/>
        </w:numPr>
        <w:shd w:val="clear" w:color="auto" w:fill="FFFFFF"/>
        <w:spacing w:before="380"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>Systems thinking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unders</w:t>
      </w:r>
      <w:r>
        <w:rPr>
          <w:rFonts w:ascii="Roboto" w:eastAsia="Roboto" w:hAnsi="Roboto" w:cs="Roboto"/>
          <w:color w:val="231F20"/>
          <w:sz w:val="24"/>
          <w:szCs w:val="24"/>
        </w:rPr>
        <w:t>tanding relationships and analysing complex systems</w:t>
      </w:r>
    </w:p>
    <w:p w14:paraId="0000001D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 xml:space="preserve">Anticipatory competency </w:t>
      </w:r>
      <w:r>
        <w:rPr>
          <w:rFonts w:ascii="Roboto" w:eastAsia="Roboto" w:hAnsi="Roboto" w:cs="Roboto"/>
          <w:color w:val="231F20"/>
          <w:sz w:val="24"/>
          <w:szCs w:val="24"/>
        </w:rPr>
        <w:t>- creating a vision of the future with a multiplicity of uncertain outcomes</w:t>
      </w:r>
    </w:p>
    <w:p w14:paraId="0000001E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>Normative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understanding and reflecting upon norms and values as expressed by the individual</w:t>
      </w:r>
    </w:p>
    <w:p w14:paraId="0000001F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>Strategic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developing and implementing plans for long term actions</w:t>
      </w:r>
    </w:p>
    <w:p w14:paraId="00000020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>Collaboration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the ability to function effectively within teams, often aided by the refinement of soft-skills</w:t>
      </w:r>
    </w:p>
    <w:p w14:paraId="00000021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>Critical thinking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questioning accepted no</w:t>
      </w:r>
      <w:r>
        <w:rPr>
          <w:rFonts w:ascii="Roboto" w:eastAsia="Roboto" w:hAnsi="Roboto" w:cs="Roboto"/>
          <w:color w:val="231F20"/>
          <w:sz w:val="24"/>
          <w:szCs w:val="24"/>
        </w:rPr>
        <w:t>rms and conventions based on one's values</w:t>
      </w:r>
    </w:p>
    <w:p w14:paraId="00000022" w14:textId="77777777" w:rsidR="00766454" w:rsidRDefault="00BD3305">
      <w:pPr>
        <w:numPr>
          <w:ilvl w:val="0"/>
          <w:numId w:val="1"/>
        </w:numPr>
        <w:shd w:val="clear" w:color="auto" w:fill="FFFFFF"/>
        <w:spacing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lastRenderedPageBreak/>
        <w:t>Self-awareness competency</w:t>
      </w:r>
      <w:r>
        <w:rPr>
          <w:rFonts w:ascii="Roboto" w:eastAsia="Roboto" w:hAnsi="Roboto" w:cs="Roboto"/>
          <w:color w:val="231F20"/>
          <w:sz w:val="24"/>
          <w:szCs w:val="24"/>
        </w:rPr>
        <w:t xml:space="preserve"> - reflecting upon one's place, behaviours, and actions both locally and globally</w:t>
      </w:r>
    </w:p>
    <w:p w14:paraId="00000023" w14:textId="77777777" w:rsidR="00766454" w:rsidRDefault="00BD3305">
      <w:pPr>
        <w:numPr>
          <w:ilvl w:val="0"/>
          <w:numId w:val="1"/>
        </w:numPr>
        <w:shd w:val="clear" w:color="auto" w:fill="FFFFFF"/>
        <w:spacing w:after="380" w:line="384" w:lineRule="auto"/>
      </w:pPr>
      <w:r>
        <w:rPr>
          <w:rFonts w:ascii="Roboto" w:eastAsia="Roboto" w:hAnsi="Roboto" w:cs="Roboto"/>
          <w:b/>
          <w:color w:val="231F20"/>
          <w:sz w:val="24"/>
          <w:szCs w:val="24"/>
        </w:rPr>
        <w:t xml:space="preserve">Integrated problem-solving competency </w:t>
      </w:r>
      <w:r>
        <w:rPr>
          <w:rFonts w:ascii="Roboto" w:eastAsia="Roboto" w:hAnsi="Roboto" w:cs="Roboto"/>
          <w:color w:val="231F20"/>
          <w:sz w:val="24"/>
          <w:szCs w:val="24"/>
        </w:rPr>
        <w:t>- application of problem-solving methods and skills on complex VUCA s</w:t>
      </w:r>
      <w:r>
        <w:rPr>
          <w:rFonts w:ascii="Roboto" w:eastAsia="Roboto" w:hAnsi="Roboto" w:cs="Roboto"/>
          <w:color w:val="231F20"/>
          <w:sz w:val="24"/>
          <w:szCs w:val="24"/>
        </w:rPr>
        <w:t>cenarios</w:t>
      </w:r>
    </w:p>
    <w:p w14:paraId="00000024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>These competences suggest a range of different skills and behaviours which can be thoughtfully developed through integrating SDGs in the curriculum.</w:t>
      </w:r>
    </w:p>
    <w:p w14:paraId="00000025" w14:textId="77777777" w:rsidR="00766454" w:rsidRDefault="00BD3305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  <w:r>
        <w:rPr>
          <w:rFonts w:ascii="Roboto" w:eastAsia="Roboto" w:hAnsi="Roboto" w:cs="Roboto"/>
          <w:color w:val="231F20"/>
          <w:sz w:val="24"/>
          <w:szCs w:val="24"/>
        </w:rPr>
        <w:t xml:space="preserve"> </w:t>
      </w:r>
    </w:p>
    <w:p w14:paraId="00000026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7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8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9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A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B" w14:textId="77777777" w:rsidR="00766454" w:rsidRDefault="00766454">
      <w:pPr>
        <w:shd w:val="clear" w:color="auto" w:fill="FFFFFF"/>
        <w:spacing w:after="200" w:line="384" w:lineRule="auto"/>
        <w:rPr>
          <w:rFonts w:ascii="Roboto" w:eastAsia="Roboto" w:hAnsi="Roboto" w:cs="Roboto"/>
          <w:color w:val="231F20"/>
          <w:sz w:val="24"/>
          <w:szCs w:val="24"/>
        </w:rPr>
      </w:pPr>
    </w:p>
    <w:p w14:paraId="0000002C" w14:textId="77777777" w:rsidR="00766454" w:rsidRDefault="00BD3305">
      <w:r>
        <w:t xml:space="preserve">Published in 2017 by the United Nations Educational, Scientific and Cultural Organization, 7, place de Fontenoy, 75352 Paris 07 SP, France © UNESCO 2017 ISBN 978-92-3-100209-0 </w:t>
      </w:r>
    </w:p>
    <w:p w14:paraId="0000002D" w14:textId="77777777" w:rsidR="00766454" w:rsidRDefault="00BD3305">
      <w:r>
        <w:t>This publication is available in Open Access under the Attribution-ShareAlike 3</w:t>
      </w:r>
      <w:r>
        <w:t xml:space="preserve">.0 IGO (CC-BY-SA 3.0 IGO) license </w:t>
      </w:r>
    </w:p>
    <w:sectPr w:rsidR="00766454">
      <w:pgSz w:w="12240" w:h="20160"/>
      <w:pgMar w:top="360" w:right="720" w:bottom="36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F35025"/>
    <w:multiLevelType w:val="multilevel"/>
    <w:tmpl w:val="9F70288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231F2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10C3AC2"/>
    <w:multiLevelType w:val="multilevel"/>
    <w:tmpl w:val="B1B031A0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231F20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30994787">
    <w:abstractNumId w:val="1"/>
  </w:num>
  <w:num w:numId="2" w16cid:durableId="2068071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454"/>
    <w:rsid w:val="00766454"/>
    <w:rsid w:val="00BD3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2962FA-0876-405B-B1E0-70CEB3C0F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907</Words>
  <Characters>5174</Characters>
  <Application>Microsoft Office Word</Application>
  <DocSecurity>0</DocSecurity>
  <Lines>43</Lines>
  <Paragraphs>12</Paragraphs>
  <ScaleCrop>false</ScaleCrop>
  <Company/>
  <LinksUpToDate>false</LinksUpToDate>
  <CharactersWithSpaces>6069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 Bhoola</dc:creator>
  <cp:lastModifiedBy>Tracy Bhoola</cp:lastModifiedBy>
  <cp:revision>2</cp:revision>
  <dcterms:created xsi:type="dcterms:W3CDTF">2022-05-05T16:34:00Z</dcterms:created>
  <dcterms:modified xsi:type="dcterms:W3CDTF">2022-05-05T16:34:00Z</dcterms:modified>
</cp:coreProperties>
</file>